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clear" w:pos="1304"/>
        </w:tabs>
        <w:snapToGrid w:val="0"/>
        <w:ind w:left="1701" w:hanging="1701"/>
        <w:rPr>
          <w:rFonts w:hint="default" w:ascii="Arial" w:hAnsi="Arial" w:cs="Arial"/>
          <w:bCs w:val="0"/>
          <w:sz w:val="22"/>
          <w:lang w:val="en-US"/>
        </w:rPr>
      </w:pPr>
      <w:r>
        <w:rPr>
          <w:rFonts w:ascii="Arial" w:hAnsi="Arial" w:eastAsia="Calibri" w:cs="Arial"/>
          <w:kern w:val="0"/>
          <w:sz w:val="22"/>
          <w:lang w:eastAsia="en-US"/>
        </w:rPr>
        <w:t>3</w:t>
      </w:r>
      <w:r>
        <w:rPr>
          <w:rFonts w:hint="eastAsia" w:ascii="Arial" w:hAnsi="Arial" w:cs="Arial"/>
          <w:bCs w:val="0"/>
          <w:sz w:val="22"/>
          <w:lang w:eastAsia="en-US"/>
        </w:rPr>
        <w:t>GPP TSG RAN WG</w:t>
      </w:r>
      <w:r>
        <w:rPr>
          <w:rFonts w:hint="eastAsia" w:ascii="Arial" w:hAnsi="Arial" w:cs="Arial"/>
          <w:bCs w:val="0"/>
          <w:sz w:val="22"/>
          <w:lang w:val="en-US" w:eastAsia="zh-CN"/>
        </w:rPr>
        <w:t>4</w:t>
      </w:r>
      <w:r>
        <w:rPr>
          <w:rFonts w:hint="eastAsia" w:ascii="Arial" w:hAnsi="Arial" w:cs="Arial"/>
          <w:bCs w:val="0"/>
          <w:sz w:val="22"/>
          <w:lang w:eastAsia="en-US"/>
        </w:rPr>
        <w:t xml:space="preserve"> #1</w:t>
      </w:r>
      <w:r>
        <w:rPr>
          <w:rFonts w:hint="eastAsia" w:ascii="Arial" w:hAnsi="Arial" w:cs="Arial"/>
          <w:bCs w:val="0"/>
          <w:sz w:val="22"/>
        </w:rPr>
        <w:t>1</w:t>
      </w:r>
      <w:r>
        <w:rPr>
          <w:rFonts w:hint="eastAsia" w:ascii="Arial" w:hAnsi="Arial" w:cs="Arial"/>
          <w:bCs w:val="0"/>
          <w:sz w:val="22"/>
          <w:lang w:val="en-US" w:eastAsia="zh-CN"/>
        </w:rPr>
        <w:t>2bis</w:t>
      </w:r>
      <w:r>
        <w:rPr>
          <w:rFonts w:ascii="Arial" w:hAnsi="Arial" w:cs="Arial"/>
          <w:bCs w:val="0"/>
          <w:sz w:val="22"/>
        </w:rPr>
        <w:t xml:space="preserve">   </w:t>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rPr>
        <w:tab/>
      </w:r>
      <w:r>
        <w:rPr>
          <w:rFonts w:ascii="Arial" w:hAnsi="Arial" w:cs="Arial"/>
          <w:bCs w:val="0"/>
          <w:sz w:val="22"/>
        </w:rPr>
        <w:t xml:space="preserve">         </w:t>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rPr>
        <w:tab/>
      </w:r>
      <w:r>
        <w:rPr>
          <w:rFonts w:hint="eastAsia" w:ascii="Arial" w:hAnsi="Arial" w:cs="Arial"/>
          <w:bCs w:val="0"/>
          <w:sz w:val="22"/>
          <w:lang w:val="en-US" w:eastAsia="zh-CN"/>
        </w:rPr>
        <w:t xml:space="preserve">                   </w:t>
      </w:r>
      <w:r>
        <w:rPr>
          <w:rFonts w:ascii="Arial" w:hAnsi="Arial" w:cs="Arial"/>
          <w:bCs w:val="0"/>
          <w:sz w:val="22"/>
        </w:rPr>
        <w:t xml:space="preserve"> R</w:t>
      </w:r>
      <w:r>
        <w:rPr>
          <w:rFonts w:hint="eastAsia" w:ascii="Arial" w:hAnsi="Arial" w:cs="Arial"/>
          <w:bCs w:val="0"/>
          <w:sz w:val="22"/>
          <w:lang w:val="en-US" w:eastAsia="zh-CN"/>
        </w:rPr>
        <w:t>4</w:t>
      </w:r>
      <w:r>
        <w:rPr>
          <w:rFonts w:ascii="Arial" w:hAnsi="Arial" w:cs="Arial"/>
          <w:bCs w:val="0"/>
          <w:sz w:val="22"/>
        </w:rPr>
        <w:t>-24</w:t>
      </w:r>
      <w:r>
        <w:rPr>
          <w:rFonts w:hint="eastAsia" w:ascii="Arial" w:hAnsi="Arial" w:cs="Arial"/>
          <w:bCs w:val="0"/>
          <w:sz w:val="22"/>
          <w:lang w:val="en-US" w:eastAsia="zh-CN"/>
        </w:rPr>
        <w:t>16371</w:t>
      </w:r>
      <w:bookmarkStart w:id="1" w:name="_GoBack"/>
      <w:bookmarkEnd w:id="1"/>
    </w:p>
    <w:p>
      <w:pPr>
        <w:pStyle w:val="83"/>
        <w:tabs>
          <w:tab w:val="left" w:pos="1580"/>
          <w:tab w:val="clear" w:pos="1800"/>
        </w:tabs>
        <w:snapToGrid w:val="0"/>
        <w:rPr>
          <w:rFonts w:cs="Arial"/>
          <w:bCs/>
          <w:sz w:val="22"/>
        </w:rPr>
      </w:pPr>
      <w:r>
        <w:rPr>
          <w:rFonts w:cs="Arial"/>
          <w:bCs/>
          <w:sz w:val="22"/>
        </w:rPr>
        <w:t>Hefei</w:t>
      </w:r>
      <w:r>
        <w:rPr>
          <w:rFonts w:hint="eastAsia" w:cs="Arial"/>
          <w:bCs/>
          <w:sz w:val="22"/>
        </w:rPr>
        <w:t xml:space="preserve">, </w:t>
      </w:r>
      <w:r>
        <w:rPr>
          <w:rFonts w:cs="Arial"/>
          <w:bCs/>
          <w:sz w:val="22"/>
        </w:rPr>
        <w:t>China</w:t>
      </w:r>
      <w:r>
        <w:rPr>
          <w:rFonts w:hint="eastAsia" w:cs="Arial"/>
          <w:bCs/>
          <w:sz w:val="22"/>
        </w:rPr>
        <w:t xml:space="preserve">, </w:t>
      </w:r>
      <w:r>
        <w:rPr>
          <w:rFonts w:cs="Arial"/>
          <w:bCs/>
          <w:sz w:val="22"/>
        </w:rPr>
        <w:t>October 14</w:t>
      </w:r>
      <w:r>
        <w:rPr>
          <w:rFonts w:cs="Arial"/>
          <w:bCs/>
          <w:sz w:val="22"/>
          <w:vertAlign w:val="superscript"/>
        </w:rPr>
        <w:t>th</w:t>
      </w:r>
      <w:r>
        <w:rPr>
          <w:rFonts w:cs="Arial"/>
          <w:bCs/>
          <w:sz w:val="22"/>
        </w:rPr>
        <w:t xml:space="preserve"> -18</w:t>
      </w:r>
      <w:r>
        <w:rPr>
          <w:rFonts w:cs="Arial"/>
          <w:bCs/>
          <w:sz w:val="22"/>
          <w:vertAlign w:val="superscript"/>
        </w:rPr>
        <w:t>th</w:t>
      </w:r>
      <w:r>
        <w:rPr>
          <w:rFonts w:eastAsia="MS Mincho" w:cs="Arial"/>
          <w:bCs/>
          <w:sz w:val="22"/>
          <w:lang w:eastAsia="ja-JP"/>
        </w:rPr>
        <w:t>, 202</w:t>
      </w:r>
      <w:r>
        <w:rPr>
          <w:rFonts w:hint="eastAsia" w:eastAsia="MS Mincho" w:cs="Arial"/>
          <w:bCs/>
          <w:sz w:val="22"/>
        </w:rPr>
        <w:t>4</w:t>
      </w:r>
      <w:r>
        <w:rPr>
          <w:rFonts w:hint="eastAsia" w:cs="Arial"/>
          <w:bCs/>
          <w:sz w:val="22"/>
        </w:rPr>
        <w:t xml:space="preserve"> </w:t>
      </w:r>
    </w:p>
    <w:p>
      <w:pPr>
        <w:pStyle w:val="83"/>
        <w:tabs>
          <w:tab w:val="left" w:pos="1580"/>
          <w:tab w:val="clear" w:pos="1800"/>
        </w:tabs>
        <w:snapToGrid w:val="0"/>
        <w:rPr>
          <w:rFonts w:cs="Arial"/>
          <w:bCs/>
          <w:sz w:val="22"/>
        </w:rPr>
      </w:pPr>
    </w:p>
    <w:p>
      <w:pPr>
        <w:pStyle w:val="83"/>
        <w:tabs>
          <w:tab w:val="left" w:pos="1580"/>
          <w:tab w:val="left" w:pos="2680"/>
          <w:tab w:val="clear" w:pos="1800"/>
          <w:tab w:val="clear" w:pos="9360"/>
        </w:tabs>
        <w:snapToGrid w:val="0"/>
        <w:rPr>
          <w:rFonts w:cs="Arial"/>
          <w:color w:val="000000"/>
          <w:sz w:val="22"/>
          <w:shd w:val="clear" w:color="auto" w:fill="FFFFFF"/>
        </w:rPr>
      </w:pPr>
      <w:r>
        <w:rPr>
          <w:rFonts w:cs="Arial"/>
          <w:sz w:val="22"/>
        </w:rPr>
        <w:t>Source:</w:t>
      </w:r>
      <w:r>
        <w:rPr>
          <w:rFonts w:cs="Arial"/>
          <w:sz w:val="22"/>
        </w:rPr>
        <w:tab/>
      </w:r>
      <w:r>
        <w:rPr>
          <w:rFonts w:cs="Arial"/>
          <w:color w:val="000000"/>
          <w:sz w:val="22"/>
          <w:shd w:val="clear" w:color="auto" w:fill="FFFFFF"/>
        </w:rPr>
        <w:t>ZTE Corporation, Sanechips</w:t>
      </w:r>
    </w:p>
    <w:p>
      <w:pPr>
        <w:pStyle w:val="83"/>
        <w:tabs>
          <w:tab w:val="left" w:pos="1580"/>
          <w:tab w:val="left" w:pos="2680"/>
          <w:tab w:val="clear" w:pos="1800"/>
          <w:tab w:val="clear" w:pos="936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w:t>
      </w:r>
      <w:r>
        <w:rPr>
          <w:rFonts w:cs="Arial"/>
          <w:sz w:val="22"/>
        </w:rPr>
        <w:t>LS on common TA in a regenerative payload scenario</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6.26.4.2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numPr>
          <w:ilvl w:val="7"/>
          <w:numId w:val="0"/>
        </w:numPr>
        <w:spacing w:after="120" w:line="240" w:lineRule="auto"/>
        <w:jc w:val="both"/>
        <w:rPr>
          <w:rFonts w:ascii="Times New Roman" w:hAnsi="Times New Roman" w:eastAsia="宋体" w:cs="Times New Roman"/>
          <w:sz w:val="20"/>
          <w:szCs w:val="20"/>
        </w:rPr>
      </w:pPr>
      <w:r>
        <w:rPr>
          <w:rFonts w:hint="eastAsia" w:eastAsia="宋体"/>
          <w:color w:val="000000"/>
          <w:sz w:val="22"/>
          <w:szCs w:val="22"/>
          <w:lang w:val="en-US" w:eastAsia="zh-CN"/>
        </w:rPr>
        <w:t xml:space="preserve"> </w:t>
      </w:r>
      <w:r>
        <w:rPr>
          <w:rFonts w:ascii="Times New Roman" w:hAnsi="Times New Roman" w:eastAsia="宋体" w:cs="Times New Roman"/>
          <w:sz w:val="20"/>
          <w:szCs w:val="20"/>
        </w:rPr>
        <w:t xml:space="preserve">In the incoming LS </w:t>
      </w:r>
      <w:r>
        <w:rPr>
          <w:rFonts w:ascii="Times New Roman" w:hAnsi="Times New Roman" w:eastAsia="宋体" w:cs="Times New Roman"/>
          <w:sz w:val="20"/>
          <w:szCs w:val="20"/>
        </w:rPr>
        <w:fldChar w:fldCharType="begin"/>
      </w:r>
      <w:r>
        <w:rPr>
          <w:rFonts w:ascii="Times New Roman" w:hAnsi="Times New Roman" w:eastAsia="宋体" w:cs="Times New Roman"/>
          <w:sz w:val="20"/>
          <w:szCs w:val="20"/>
        </w:rPr>
        <w:instrText xml:space="preserve"> REF _Ref173398567 \r \h </w:instrText>
      </w:r>
      <w:r>
        <w:rPr>
          <w:rFonts w:ascii="Times New Roman" w:hAnsi="Times New Roman" w:eastAsia="宋体" w:cs="Times New Roman"/>
          <w:sz w:val="20"/>
          <w:szCs w:val="20"/>
        </w:rPr>
        <w:fldChar w:fldCharType="separate"/>
      </w:r>
      <w:r>
        <w:rPr>
          <w:rFonts w:ascii="Times New Roman" w:hAnsi="Times New Roman" w:eastAsia="宋体" w:cs="Times New Roman"/>
          <w:sz w:val="20"/>
          <w:szCs w:val="20"/>
        </w:rPr>
        <w:t>[1]</w:t>
      </w:r>
      <w:r>
        <w:rPr>
          <w:rFonts w:ascii="Times New Roman" w:hAnsi="Times New Roman" w:eastAsia="宋体" w:cs="Times New Roman"/>
          <w:sz w:val="20"/>
          <w:szCs w:val="20"/>
        </w:rPr>
        <w:fldChar w:fldCharType="end"/>
      </w:r>
      <w:r>
        <w:rPr>
          <w:rFonts w:ascii="Times New Roman" w:hAnsi="Times New Roman" w:eastAsia="宋体" w:cs="Times New Roman"/>
          <w:sz w:val="20"/>
          <w:szCs w:val="20"/>
        </w:rPr>
        <w:t xml:space="preserve"> from RAN2, the following questions and action are listed to clarify the value of the ta-Common in regenerative case: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after="0" w:line="240" w:lineRule="auto"/>
              <w:outlineLvl w:val="0"/>
              <w:rPr>
                <w:rFonts w:ascii="Times New Roman" w:hAnsi="Times New Roman" w:cs="Times New Roman"/>
                <w:b/>
                <w:sz w:val="20"/>
                <w:szCs w:val="20"/>
              </w:rPr>
            </w:pPr>
            <w:r>
              <w:rPr>
                <w:rFonts w:ascii="Times New Roman" w:hAnsi="Times New Roman" w:cs="Times New Roman"/>
                <w:b/>
                <w:sz w:val="20"/>
                <w:szCs w:val="20"/>
              </w:rPr>
              <w:t>1. Overall Description:</w:t>
            </w:r>
          </w:p>
          <w:p>
            <w:pPr>
              <w:spacing w:after="0" w:line="240" w:lineRule="auto"/>
              <w:rPr>
                <w:rFonts w:ascii="Times New Roman" w:hAnsi="Times New Roman" w:cs="Times New Roman"/>
                <w:bCs/>
                <w:sz w:val="20"/>
                <w:szCs w:val="20"/>
              </w:rPr>
            </w:pPr>
            <w:r>
              <w:rPr>
                <w:rFonts w:ascii="Times New Roman" w:hAnsi="Times New Roman" w:cs="Times New Roman"/>
                <w:sz w:val="20"/>
                <w:szCs w:val="20"/>
              </w:rPr>
              <w:t>In RAN2#127 meeting, the setting of common TA and Kmac for regenerative payload with full gNB on board was discussed, and a question related to the value setting was raised.</w:t>
            </w:r>
          </w:p>
          <w:p>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Related to this, RAN2 kindly asks RAN1 and RAN4:</w:t>
            </w:r>
          </w:p>
          <w:p>
            <w:pPr>
              <w:spacing w:after="0" w:line="240" w:lineRule="auto"/>
              <w:rPr>
                <w:rFonts w:ascii="Times New Roman" w:hAnsi="Times New Roman" w:eastAsia="等线" w:cs="Times New Roman"/>
                <w:sz w:val="20"/>
                <w:szCs w:val="20"/>
              </w:rPr>
            </w:pPr>
            <w:r>
              <w:rPr>
                <w:rFonts w:ascii="Times New Roman" w:hAnsi="Times New Roman" w:eastAsia="等线" w:cs="Times New Roman"/>
                <w:b/>
                <w:bCs/>
                <w:sz w:val="20"/>
                <w:szCs w:val="20"/>
                <w:lang w:eastAsia="ja-JP"/>
              </w:rPr>
              <w:t>Question:</w:t>
            </w:r>
            <w:r>
              <w:rPr>
                <w:rFonts w:ascii="Times New Roman" w:hAnsi="Times New Roman" w:eastAsia="等线" w:cs="Times New Roman"/>
                <w:b/>
                <w:bCs/>
                <w:sz w:val="20"/>
                <w:szCs w:val="20"/>
              </w:rPr>
              <w:t xml:space="preserve"> </w:t>
            </w:r>
            <w:r>
              <w:rPr>
                <w:rFonts w:ascii="Times New Roman" w:hAnsi="Times New Roman" w:eastAsia="等线" w:cs="Times New Roman"/>
                <w:sz w:val="20"/>
                <w:szCs w:val="20"/>
              </w:rPr>
              <w:t xml:space="preserve"> Whether in a regenerative payload scenario it would be a problem to stick to 0 as the minimum possible value for TA-Common or whether we should e.g. introduce negative values for ta-Common. </w:t>
            </w:r>
          </w:p>
          <w:p>
            <w:pPr>
              <w:spacing w:after="0" w:line="240" w:lineRule="auto"/>
              <w:rPr>
                <w:rFonts w:ascii="Times New Roman" w:hAnsi="Times New Roman" w:eastAsia="等线" w:cs="Times New Roman"/>
                <w:sz w:val="20"/>
                <w:szCs w:val="20"/>
              </w:rPr>
            </w:pPr>
            <w:r>
              <w:rPr>
                <w:rFonts w:ascii="Times New Roman" w:hAnsi="Times New Roman" w:eastAsia="等线" w:cs="Times New Roman"/>
                <w:sz w:val="20"/>
                <w:szCs w:val="20"/>
              </w:rPr>
              <w:t>Additionally,  RAN2 understands in any case legacy UEs would have to rely on existing signaling and then for legacy UEs, minimum value of Common TA is equal to 0.</w:t>
            </w:r>
          </w:p>
          <w:p>
            <w:pPr>
              <w:spacing w:after="0" w:line="240" w:lineRule="auto"/>
              <w:rPr>
                <w:rFonts w:ascii="Times New Roman" w:hAnsi="Times New Roman" w:eastAsia="等线" w:cs="Times New Roman"/>
                <w:sz w:val="20"/>
                <w:szCs w:val="20"/>
              </w:rPr>
            </w:pPr>
          </w:p>
          <w:p>
            <w:pPr>
              <w:spacing w:after="0" w:line="240" w:lineRule="auto"/>
              <w:outlineLvl w:val="0"/>
              <w:rPr>
                <w:rFonts w:ascii="Times New Roman" w:hAnsi="Times New Roman" w:cs="Times New Roman"/>
                <w:b/>
                <w:sz w:val="20"/>
                <w:szCs w:val="20"/>
              </w:rPr>
            </w:pPr>
            <w:r>
              <w:rPr>
                <w:rFonts w:ascii="Times New Roman" w:hAnsi="Times New Roman" w:cs="Times New Roman"/>
                <w:b/>
                <w:sz w:val="20"/>
                <w:szCs w:val="20"/>
              </w:rPr>
              <w:t>2. Actions:</w:t>
            </w:r>
          </w:p>
          <w:p>
            <w:pPr>
              <w:spacing w:after="0" w:line="240" w:lineRule="auto"/>
              <w:ind w:left="1985" w:hanging="1985"/>
              <w:outlineLvl w:val="0"/>
              <w:rPr>
                <w:rFonts w:ascii="Times New Roman" w:hAnsi="Times New Roman" w:cs="Times New Roman"/>
                <w:b/>
                <w:sz w:val="20"/>
                <w:szCs w:val="20"/>
              </w:rPr>
            </w:pPr>
            <w:r>
              <w:rPr>
                <w:rFonts w:ascii="Times New Roman" w:hAnsi="Times New Roman" w:cs="Times New Roman"/>
                <w:b/>
                <w:sz w:val="20"/>
                <w:szCs w:val="20"/>
              </w:rPr>
              <w:t>To RAN1 and RAN4:</w:t>
            </w:r>
          </w:p>
          <w:p>
            <w:pPr>
              <w:spacing w:after="0" w:line="240" w:lineRule="auto"/>
              <w:outlineLvl w:val="0"/>
              <w:rPr>
                <w:rFonts w:ascii="Arial" w:hAnsi="Arial" w:cs="Arial"/>
                <w:lang w:val="en-GB" w:eastAsia="en-US"/>
              </w:rPr>
            </w:pPr>
            <w:r>
              <w:rPr>
                <w:rFonts w:ascii="Times New Roman" w:hAnsi="Times New Roman" w:cs="Times New Roman"/>
                <w:sz w:val="20"/>
                <w:szCs w:val="20"/>
              </w:rPr>
              <w:t>RAN2 kindly requests RAN1 and RAN4 to provide feedback on above question.</w:t>
            </w:r>
          </w:p>
        </w:tc>
      </w:tr>
    </w:tbl>
    <w:p>
      <w:pPr>
        <w:numPr>
          <w:ilvl w:val="7"/>
          <w:numId w:val="0"/>
        </w:numPr>
        <w:spacing w:before="120" w:after="120" w:line="240" w:lineRule="auto"/>
        <w:jc w:val="both"/>
        <w:rPr>
          <w:rFonts w:hint="default" w:ascii="Times New Roman" w:hAnsi="Times New Roman" w:eastAsia="宋体" w:cs="Times New Roman"/>
          <w:sz w:val="22"/>
          <w:lang w:val="en-US" w:eastAsia="zh-CN"/>
        </w:rPr>
      </w:pPr>
      <w:r>
        <w:rPr>
          <w:rFonts w:hint="eastAsia" w:ascii="Times New Roman" w:hAnsi="Times New Roman" w:eastAsia="宋体" w:cs="Times New Roman"/>
          <w:sz w:val="20"/>
          <w:szCs w:val="20"/>
        </w:rPr>
        <w:t xml:space="preserve">In this contribution, </w:t>
      </w:r>
      <w:r>
        <w:rPr>
          <w:rFonts w:ascii="Times New Roman" w:hAnsi="Times New Roman"/>
          <w:sz w:val="20"/>
          <w:szCs w:val="20"/>
        </w:rPr>
        <w:t>the views and initial replies are elaborated</w:t>
      </w:r>
      <w:r>
        <w:rPr>
          <w:rFonts w:ascii="Times New Roman" w:hAnsi="Times New Roman" w:eastAsia="宋体" w:cs="Times New Roman"/>
          <w:sz w:val="20"/>
          <w:szCs w:val="20"/>
        </w:rPr>
        <w:t>.</w:t>
      </w:r>
      <w:r>
        <w:rPr>
          <w:rFonts w:hint="eastAsia" w:ascii="Times New Roman" w:hAnsi="Times New Roman" w:eastAsia="宋体" w:cs="Times New Roman"/>
          <w:sz w:val="22"/>
          <w:lang w:val="en-US" w:eastAsia="zh-CN"/>
        </w:rPr>
        <w:t xml:space="preserve"> </w:t>
      </w: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The LS specifies the scenario is the regenerative mode and study on its timing issues. First of all, we shall recall the timing requirements and then analyze the regenerative mode by comparison. In legacy, RAN4 has already defined the timing requirements for NR NTN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vertAlign w:val="baseline"/>
                <w:lang w:val="en-US" w:eastAsia="zh-CN"/>
              </w:rPr>
            </w:pPr>
            <w:r>
              <w:rPr>
                <w:rFonts w:eastAsia="宋体" w:cs="v4.2.0"/>
              </w:rPr>
              <w:t xml:space="preserve">The UE shall have capability to follow the frame timing change of the </w:t>
            </w:r>
            <w:r>
              <w:rPr>
                <w:rFonts w:eastAsia="宋体"/>
              </w:rPr>
              <w:t>reference cell</w:t>
            </w:r>
            <w:r>
              <w:rPr>
                <w:rFonts w:eastAsia="宋体" w:cs="v4.2.0"/>
              </w:rPr>
              <w:t xml:space="preserve"> in connected </w:t>
            </w:r>
            <w:r>
              <w:rPr>
                <w:rFonts w:eastAsia="宋体"/>
              </w:rPr>
              <w:t>state</w:t>
            </w:r>
            <w:r>
              <w:rPr>
                <w:rFonts w:eastAsia="宋体" w:cs="v4.2.0"/>
              </w:rPr>
              <w:t xml:space="preserve">. The uplink frame transmission takes place </w:t>
            </w:r>
            <m:oMath>
              <m:d>
                <m:dPr>
                  <m:ctrlPr>
                    <w:rPr>
                      <w:rFonts w:ascii="Cambria Math" w:hAnsi="Cambria Math"/>
                      <w:i/>
                    </w:rPr>
                  </m:ctrlPr>
                </m:dPr>
                <m:e>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lang w:val="en-US"/>
                        </w:rPr>
                        <m:t>TA</m:t>
                      </m:r>
                      <m:ctrlPr>
                        <w:rPr>
                          <w:rFonts w:ascii="Cambria Math" w:hAnsi="Cambria Math"/>
                          <w:i/>
                          <w:highlight w:val="yellow"/>
                        </w:rPr>
                      </m:ctrlPr>
                    </m:sub>
                  </m:sSub>
                  <m:r>
                    <m:rPr/>
                    <w:rPr>
                      <w:rFonts w:ascii="Cambria Math" w:hAnsi="Cambria Math"/>
                      <w:highlight w:val="yellow"/>
                      <w:lang w:val="en-US"/>
                    </w:rPr>
                    <m:t>+</m:t>
                  </m:r>
                  <m:sSub>
                    <m:sSubPr>
                      <m:ctrlPr>
                        <w:rPr>
                          <w:rFonts w:ascii="Cambria Math" w:hAnsi="Cambria Math"/>
                          <w:i/>
                          <w:highlight w:val="yellow"/>
                        </w:rPr>
                      </m:ctrlPr>
                    </m:sSub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lang w:val="en-US"/>
                        </w:rPr>
                        <m:t>TA-offset</m:t>
                      </m:r>
                      <m:ctrlPr>
                        <w:rPr>
                          <w:rFonts w:ascii="Cambria Math" w:hAnsi="Cambria Math"/>
                          <w:i/>
                          <w:highlight w:val="yellow"/>
                        </w:rPr>
                      </m:ctrlPr>
                    </m:sub>
                  </m:sSub>
                  <m:r>
                    <m:rPr/>
                    <w:rPr>
                      <w:rFonts w:ascii="Cambria Math" w:hAnsi="Cambria Math"/>
                      <w:highlight w:val="yellow"/>
                      <w:lang w:val="en-US"/>
                    </w:rPr>
                    <m:t>+</m:t>
                  </m:r>
                  <m:sSubSup>
                    <m:sSubSupPr>
                      <m:ctrlPr>
                        <w:rPr>
                          <w:rFonts w:ascii="Cambria Math" w:hAnsi="Cambria Math"/>
                          <w:b/>
                          <w:bCs/>
                          <w:i/>
                          <w:highlight w:val="yellow"/>
                        </w:rPr>
                      </m:ctrlPr>
                    </m:sSubSupPr>
                    <m:e>
                      <m:r>
                        <m:rPr>
                          <m:sty m:val="bi"/>
                        </m:rPr>
                        <w:rPr>
                          <w:rFonts w:hint="default" w:ascii="Cambria Math" w:hAnsi="Cambria Math"/>
                          <w:highlight w:val="yellow"/>
                        </w:rPr>
                        <m:t>N</m:t>
                      </m:r>
                      <m:ctrlPr>
                        <w:rPr>
                          <w:rFonts w:ascii="Cambria Math" w:hAnsi="Cambria Math"/>
                          <w:b/>
                          <w:bCs/>
                          <w:i/>
                          <w:highlight w:val="yellow"/>
                        </w:rPr>
                      </m:ctrlPr>
                    </m:e>
                    <m:sub>
                      <m:r>
                        <m:rPr>
                          <m:nor/>
                          <m:sty m:val="b"/>
                        </m:rPr>
                        <w:rPr>
                          <w:rFonts w:ascii="Cambria Math" w:hAnsi="Cambria Math"/>
                          <w:b/>
                          <w:bCs/>
                          <w:i w:val="0"/>
                          <w:highlight w:val="yellow"/>
                          <w:lang w:val="en-US"/>
                        </w:rPr>
                        <m:t>TA,adj</m:t>
                      </m:r>
                      <m:ctrlPr>
                        <w:rPr>
                          <w:rFonts w:ascii="Cambria Math" w:hAnsi="Cambria Math"/>
                          <w:b/>
                          <w:bCs/>
                          <w:i/>
                          <w:highlight w:val="yellow"/>
                        </w:rPr>
                      </m:ctrlPr>
                    </m:sub>
                    <m:sup>
                      <m:r>
                        <m:rPr>
                          <m:nor/>
                          <m:sty m:val="b"/>
                        </m:rPr>
                        <w:rPr>
                          <w:rFonts w:ascii="Cambria Math" w:hAnsi="Cambria Math"/>
                          <w:b/>
                          <w:bCs/>
                          <w:i w:val="0"/>
                          <w:highlight w:val="yellow"/>
                          <w:lang w:val="en-US"/>
                        </w:rPr>
                        <m:t>common</m:t>
                      </m:r>
                      <m:ctrlPr>
                        <w:rPr>
                          <w:rFonts w:ascii="Cambria Math" w:hAnsi="Cambria Math"/>
                          <w:b/>
                          <w:bCs/>
                          <w:i/>
                          <w:highlight w:val="yellow"/>
                        </w:rPr>
                      </m:ctrlPr>
                    </m:sup>
                  </m:sSubSup>
                  <m:r>
                    <m:rPr/>
                    <w:rPr>
                      <w:rFonts w:ascii="Cambria Math" w:hAnsi="Cambria Math"/>
                      <w:highlight w:val="yellow"/>
                      <w:lang w:val="en-US"/>
                    </w:rPr>
                    <m:t>+</m:t>
                  </m:r>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lang w:val="en-US"/>
                        </w:rPr>
                        <m:t>TA,adj</m:t>
                      </m:r>
                      <m:ctrlPr>
                        <w:rPr>
                          <w:rFonts w:ascii="Cambria Math" w:hAnsi="Cambria Math"/>
                          <w:i/>
                          <w:highlight w:val="yellow"/>
                        </w:rPr>
                      </m:ctrlPr>
                    </m:sub>
                    <m:sup>
                      <m:r>
                        <m:rPr>
                          <m:nor/>
                          <m:sty m:val="p"/>
                        </m:rPr>
                        <w:rPr>
                          <w:rFonts w:ascii="Cambria Math" w:hAnsi="Cambria Math"/>
                          <w:b w:val="0"/>
                          <w:i w:val="0"/>
                          <w:highlight w:val="yellow"/>
                          <w:lang w:val="en-US"/>
                        </w:rPr>
                        <m:t>UE</m:t>
                      </m:r>
                      <m:ctrlPr>
                        <w:rPr>
                          <w:rFonts w:ascii="Cambria Math" w:hAnsi="Cambria Math"/>
                          <w:i/>
                          <w:highlight w:val="yellow"/>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rPr>
              <w:t xml:space="preserve"> </w:t>
            </w:r>
            <w:r>
              <w:rPr>
                <w:rFonts w:eastAsia="宋体" w:cs="v4.2.0"/>
              </w:rPr>
              <w:t>before the reception of the first detected path (in time) of the corresponding downlink frame</w:t>
            </w:r>
            <w:r>
              <w:rPr>
                <w:rFonts w:eastAsia="宋体"/>
              </w:rPr>
              <w:t xml:space="preserve"> from the reference cell. </w:t>
            </w:r>
            <w:r>
              <w:rPr>
                <w:rFonts w:eastAsia="宋体" w:cs="v4.2.0"/>
              </w:rPr>
              <w:t>UE initial transmit timing accuracy</w:t>
            </w:r>
            <w:r>
              <w:rPr>
                <w:rFonts w:hint="eastAsia" w:eastAsia="宋体" w:cs="v4.2.0"/>
                <w:lang w:val="en-US" w:eastAsia="zh-CN"/>
              </w:rPr>
              <w:t xml:space="preserve"> and</w:t>
            </w:r>
            <w:r>
              <w:rPr>
                <w:rFonts w:eastAsia="宋体" w:cs="v4.2.0"/>
              </w:rPr>
              <w:t xml:space="preserve"> </w:t>
            </w:r>
            <w:r>
              <w:rPr>
                <w:rFonts w:eastAsia="宋体"/>
              </w:rPr>
              <w:t>gradual timing adjustment requirements</w:t>
            </w:r>
            <w:r>
              <w:rPr>
                <w:rFonts w:eastAsia="宋体" w:cs="v4.2.0"/>
              </w:rPr>
              <w:t xml:space="preserve"> are defined in the following requirements.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The scenario for transparent payload can be seen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宋体" w:hAnsi="宋体" w:eastAsia="宋体" w:cs="宋体"/>
          <w:kern w:val="0"/>
          <w:sz w:val="24"/>
          <w:szCs w:val="24"/>
          <w:lang w:val="en-US" w:eastAsia="zh-CN" w:bidi="ar"/>
        </w:rPr>
        <w:drawing>
          <wp:inline distT="0" distB="0" distL="114300" distR="114300">
            <wp:extent cx="4799965" cy="1941830"/>
            <wp:effectExtent l="0" t="0" r="0" b="8890"/>
            <wp:docPr id="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6"/>
                    <pic:cNvPicPr>
                      <a:picLocks noChangeAspect="1"/>
                    </pic:cNvPicPr>
                  </pic:nvPicPr>
                  <pic:blipFill>
                    <a:blip r:embed="rId6"/>
                    <a:stretch>
                      <a:fillRect/>
                    </a:stretch>
                  </pic:blipFill>
                  <pic:spPr>
                    <a:xfrm>
                      <a:off x="0" y="0"/>
                      <a:ext cx="4799965" cy="194183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hint="eastAsia"/>
          <w:lang w:val="en-US" w:eastAsia="zh-CN"/>
        </w:rPr>
        <w:t>Figure 1 Timing of transparent payload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We find the reference point is located at feeder link, however, RAN4 did not preclude the reference point is at satellite or gNB in legacy.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This timing requirement comprises four parts:</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w:t>
      </w:r>
      <w:r>
        <w:rPr>
          <w:rFonts w:hint="eastAsia" w:eastAsia="宋体"/>
          <w:sz w:val="22"/>
          <w:lang w:val="en-US" w:eastAsia="zh-CN"/>
        </w:rPr>
        <w:t>: The value N</w:t>
      </w:r>
      <w:r>
        <w:rPr>
          <w:rFonts w:hint="eastAsia" w:eastAsia="宋体"/>
          <w:sz w:val="22"/>
          <w:vertAlign w:val="subscript"/>
          <w:lang w:val="en-US" w:eastAsia="zh-CN"/>
        </w:rPr>
        <w:t xml:space="preserve">TA </w:t>
      </w:r>
      <w:r>
        <w:rPr>
          <w:rFonts w:hint="eastAsia" w:eastAsia="宋体"/>
          <w:sz w:val="22"/>
          <w:lang w:val="en-US" w:eastAsia="zh-CN"/>
        </w:rPr>
        <w:t>of timing advance is indicated in Msg2 which is the timing adjustment be network.</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TA-offset</w:t>
      </w:r>
      <w:r>
        <w:rPr>
          <w:rFonts w:hint="eastAsia" w:eastAsia="宋体"/>
          <w:sz w:val="22"/>
          <w:lang w:val="en-US" w:eastAsia="zh-CN"/>
        </w:rPr>
        <w:t>: A UE can be provided a value N</w:t>
      </w:r>
      <w:r>
        <w:rPr>
          <w:rFonts w:hint="eastAsia" w:eastAsia="宋体"/>
          <w:sz w:val="22"/>
          <w:vertAlign w:val="subscript"/>
          <w:lang w:val="en-US" w:eastAsia="zh-CN"/>
        </w:rPr>
        <w:t xml:space="preserve">TA-offset </w:t>
      </w:r>
      <w:r>
        <w:rPr>
          <w:rFonts w:hint="eastAsia" w:eastAsia="宋体"/>
          <w:sz w:val="22"/>
          <w:lang w:val="en-US" w:eastAsia="zh-CN"/>
        </w:rPr>
        <w:t>of timing advance offset for a serving cell.</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m:oMath>
        <m:sSubSup>
          <m:sSubSupPr>
            <m:ctrlPr>
              <w:rPr>
                <w:rFonts w:ascii="Cambria Math" w:hAnsi="Cambria Math" w:eastAsia="Times New Roman" w:cs="Times New Roman"/>
                <w:b/>
                <w:bCs/>
                <w:i/>
                <w:highlight w:val="none"/>
                <w:lang w:val="en-GB" w:eastAsia="en-GB"/>
              </w:rPr>
            </m:ctrlPr>
          </m:sSubSupPr>
          <m:e>
            <m:r>
              <m:rPr>
                <m:sty m:val="bi"/>
              </m:rPr>
              <w:rPr>
                <w:rFonts w:hint="default" w:ascii="Cambria Math" w:hAnsi="Cambria Math" w:cs="Times New Roman"/>
                <w:highlight w:val="none"/>
              </w:rPr>
              <m:t>N</m:t>
            </m:r>
            <m:ctrlPr>
              <w:rPr>
                <w:rFonts w:ascii="Cambria Math" w:hAnsi="Cambria Math" w:eastAsia="Times New Roman" w:cs="Times New Roman"/>
                <w:b/>
                <w:bCs/>
                <w:i/>
                <w:highlight w:val="none"/>
                <w:lang w:val="en-GB" w:eastAsia="en-GB"/>
              </w:rPr>
            </m:ctrlPr>
          </m:e>
          <m:sub>
            <m:r>
              <m:rPr>
                <m:nor/>
                <m:sty m:val="b"/>
              </m:rPr>
              <w:rPr>
                <w:rFonts w:ascii="Cambria Math" w:hAnsi="Cambria Math" w:cs="Times New Roman"/>
                <w:b/>
                <w:bCs/>
                <w:i w:val="0"/>
                <w:highlight w:val="none"/>
              </w:rPr>
              <m:t>TA,adj</m:t>
            </m:r>
            <m:ctrlPr>
              <w:rPr>
                <w:rFonts w:ascii="Cambria Math" w:hAnsi="Cambria Math" w:eastAsia="Times New Roman" w:cs="Times New Roman"/>
                <w:b/>
                <w:bCs/>
                <w:i/>
                <w:highlight w:val="none"/>
                <w:lang w:val="en-GB" w:eastAsia="en-GB"/>
              </w:rPr>
            </m:ctrlPr>
          </m:sub>
          <m:sup>
            <m:r>
              <m:rPr>
                <m:nor/>
                <m:sty m:val="b"/>
              </m:rPr>
              <w:rPr>
                <w:rFonts w:ascii="Cambria Math" w:hAnsi="Cambria Math" w:cs="Times New Roman"/>
                <w:b/>
                <w:bCs/>
                <w:i w:val="0"/>
                <w:highlight w:val="none"/>
              </w:rPr>
              <m:t>common</m:t>
            </m:r>
            <m:ctrlPr>
              <w:rPr>
                <w:rFonts w:ascii="Cambria Math" w:hAnsi="Cambria Math" w:eastAsia="Times New Roman" w:cs="Times New Roman"/>
                <w:b/>
                <w:bCs/>
                <w:i/>
                <w:highlight w:val="none"/>
                <w:lang w:val="en-GB" w:eastAsia="en-GB"/>
              </w:rPr>
            </m:ctrlPr>
          </m:sup>
        </m:sSubSup>
      </m:oMath>
      <w:r>
        <w:rPr>
          <w:rFonts w:hint="eastAsia" w:eastAsia="宋体"/>
          <w:sz w:val="22"/>
          <w:highlight w:val="none"/>
          <w:lang w:val="en-US" w:eastAsia="zh-CN"/>
        </w:rPr>
        <w:t>: I</w:t>
      </w:r>
      <w:r>
        <w:t>t is derived from the higher-layer parameters</w:t>
      </w:r>
      <w:r>
        <w:rPr>
          <w:iCs/>
        </w:rPr>
        <w:t xml:space="preserve"> contained assistance information for the serving cell. It is the </w:t>
      </w:r>
      <w:r>
        <w:rPr>
          <w:rFonts w:hint="eastAsia" w:eastAsia="宋体"/>
          <w:iCs/>
          <w:lang w:val="en-US" w:eastAsia="zh-CN"/>
        </w:rPr>
        <w:tab/>
      </w:r>
      <w:r>
        <w:rPr>
          <w:rFonts w:hint="eastAsia" w:eastAsia="宋体"/>
          <w:iCs/>
          <w:lang w:val="en-US" w:eastAsia="zh-CN"/>
        </w:rPr>
        <w:tab/>
      </w:r>
      <w:r>
        <w:rPr>
          <w:rFonts w:hint="eastAsia" w:eastAsia="宋体"/>
          <w:iCs/>
          <w:lang w:val="en-US" w:eastAsia="zh-CN"/>
        </w:rPr>
        <w:tab/>
      </w:r>
      <w:r>
        <w:rPr>
          <w:iCs/>
        </w:rPr>
        <w:t>network-controlled common timing advanced value between reference point and satellite on feeder link</w:t>
      </w:r>
      <w:r>
        <w:rPr>
          <w:rFonts w:hint="eastAsia" w:eastAsia="宋体"/>
          <w:iCs/>
          <w:lang w:val="en-US" w:eastAsia="zh-CN"/>
        </w:rPr>
        <w:t>.</w:t>
      </w:r>
    </w:p>
    <w:p>
      <w:pPr>
        <w:overflowPunct w:val="0"/>
        <w:autoSpaceDE w:val="0"/>
        <w:autoSpaceDN w:val="0"/>
        <w:adjustRightInd w:val="0"/>
        <w:spacing w:before="120" w:after="120" w:line="360" w:lineRule="auto"/>
        <w:jc w:val="both"/>
        <w:textAlignment w:val="baseline"/>
        <w:rPr>
          <w:rFonts w:hint="eastAsia" w:eastAsiaTheme="minorEastAsia"/>
          <w:lang w:val="en-US" w:eastAsia="zh-CN"/>
        </w:rPr>
      </w:pPr>
      <m:oMath>
        <m:sSubSup>
          <m:sSubSupPr>
            <m:ctrlPr>
              <w:rPr>
                <w:rFonts w:ascii="Cambria Math" w:hAnsi="Cambria Math" w:eastAsia="Times New Roman" w:cs="Times New Roman"/>
                <w:i/>
                <w:highlight w:val="none"/>
                <w:lang w:val="en-GB" w:eastAsia="en-GB"/>
              </w:rPr>
            </m:ctrlPr>
          </m:sSubSupPr>
          <m:e>
            <m:r>
              <m:rPr/>
              <w:rPr>
                <w:rFonts w:ascii="Cambria Math" w:hAnsi="Cambria Math" w:cs="Times New Roman"/>
                <w:highlight w:val="none"/>
              </w:rPr>
              <m:t>N</m:t>
            </m:r>
            <m:ctrlPr>
              <w:rPr>
                <w:rFonts w:ascii="Cambria Math" w:hAnsi="Cambria Math" w:eastAsia="Times New Roman" w:cs="Times New Roman"/>
                <w:i/>
                <w:highlight w:val="none"/>
                <w:lang w:val="en-GB" w:eastAsia="en-GB"/>
              </w:rPr>
            </m:ctrlPr>
          </m:e>
          <m:sub>
            <m:r>
              <m:rPr>
                <m:nor/>
                <m:sty m:val="p"/>
              </m:rPr>
              <w:rPr>
                <w:rFonts w:ascii="Times New Roman" w:hAnsi="Times New Roman" w:cs="Times New Roman"/>
                <w:b w:val="0"/>
                <w:i w:val="0"/>
                <w:highlight w:val="none"/>
              </w:rPr>
              <m:t>TA,adj</m:t>
            </m:r>
            <m:ctrlPr>
              <w:rPr>
                <w:rFonts w:ascii="Cambria Math" w:hAnsi="Cambria Math" w:eastAsia="Times New Roman" w:cs="Times New Roman"/>
                <w:i/>
                <w:highlight w:val="none"/>
                <w:lang w:val="en-GB" w:eastAsia="en-GB"/>
              </w:rPr>
            </m:ctrlPr>
          </m:sub>
          <m:sup>
            <m:r>
              <m:rPr>
                <m:nor/>
                <m:sty m:val="p"/>
              </m:rPr>
              <w:rPr>
                <w:rFonts w:ascii="Times New Roman" w:hAnsi="Times New Roman" w:cs="Times New Roman"/>
                <w:b w:val="0"/>
                <w:i w:val="0"/>
                <w:highlight w:val="none"/>
              </w:rPr>
              <m:t>UE</m:t>
            </m:r>
            <m:ctrlPr>
              <w:rPr>
                <w:rFonts w:ascii="Cambria Math" w:hAnsi="Cambria Math" w:eastAsia="Times New Roman" w:cs="Times New Roman"/>
                <w:i/>
                <w:highlight w:val="none"/>
                <w:lang w:val="en-GB" w:eastAsia="en-GB"/>
              </w:rPr>
            </m:ctrlPr>
          </m:sup>
        </m:sSubSup>
      </m:oMath>
      <w:r>
        <w:rPr>
          <w:rFonts w:hint="eastAsia" w:eastAsia="宋体"/>
          <w:sz w:val="22"/>
          <w:highlight w:val="none"/>
          <w:lang w:val="en-US" w:eastAsia="zh-CN"/>
        </w:rPr>
        <w:t xml:space="preserve">: </w:t>
      </w:r>
      <w:r>
        <w:rPr>
          <w:rFonts w:eastAsiaTheme="minorEastAsia"/>
        </w:rPr>
        <w:t>UE determines it by using the serving satellite position and its own position</w:t>
      </w:r>
      <w:r>
        <w:rPr>
          <w:rFonts w:hint="eastAsia" w:eastAsiaTheme="minorEastAsia"/>
          <w:lang w:val="en-US" w:eastAsia="zh-CN"/>
        </w:rPr>
        <w:t xml:space="preserve"> (GNSS capability)</w:t>
      </w:r>
      <w:r>
        <w:rPr>
          <w:rFonts w:eastAsiaTheme="minorEastAsia"/>
        </w:rPr>
        <w:t xml:space="preserve"> on service link. </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ab/>
      </w:r>
      <w:r>
        <w:rPr>
          <w:rFonts w:eastAsiaTheme="minorEastAsia"/>
        </w:rPr>
        <w:t>For the serving satellite position, it is calculated by UE based on higher-layer ephemeris parameters for a serving satellite</w:t>
      </w:r>
      <w:r>
        <w:rPr>
          <w:rFonts w:hint="eastAsia" w:eastAsiaTheme="minorEastAsia"/>
          <w:lang w:val="en-US" w:eastAsia="zh-CN"/>
        </w:rPr>
        <w:t>.</w:t>
      </w:r>
    </w:p>
    <w:p>
      <w:pPr>
        <w:overflowPunct w:val="0"/>
        <w:autoSpaceDE w:val="0"/>
        <w:autoSpaceDN w:val="0"/>
        <w:adjustRightInd w:val="0"/>
        <w:spacing w:before="120" w:after="120" w:line="360" w:lineRule="auto"/>
        <w:jc w:val="both"/>
        <w:textAlignment w:val="baseline"/>
        <w:rPr>
          <w:rFonts w:hint="eastAsia" w:eastAsiaTheme="minorEastAsia"/>
          <w:lang w:val="en-US" w:eastAsia="zh-CN"/>
        </w:rPr>
      </w:pPr>
      <w:r>
        <w:rPr>
          <w:rFonts w:hint="eastAsia" w:eastAsiaTheme="minorEastAsia"/>
          <w:lang w:val="en-US" w:eastAsia="zh-CN"/>
        </w:rPr>
        <w:t xml:space="preserve">The NTN UE has the GNSS capability which can obtain its own position and the SIB19 including ephemeris are configured to UE, then UE can combine with these information to calculate the distance between UE itself and the satellite, that is, this is up to UE implementation. When UE would like to access the network, these information can be sent to network via Msg1. Then, the network will send the Msg2 to UE and tell UE that the value of timing advance shall be adjusted. UE receives the timing advance adjustment via Msg2, it will transmit uplink signals to network with concrete timing advance value. However, the reference point is located at feeder link, the timing between the satellite and reference point shall also be compensated. The compensated value is configured by network which is the common TA as shown in figure 1. Based on the analysis above, we know that only UE specific TA is up to UE implementation and the rest of  parameters are configured by network. </w:t>
      </w:r>
    </w:p>
    <w:p>
      <w:pPr>
        <w:overflowPunct w:val="0"/>
        <w:autoSpaceDE w:val="0"/>
        <w:autoSpaceDN w:val="0"/>
        <w:adjustRightInd w:val="0"/>
        <w:spacing w:before="120" w:after="120" w:line="360" w:lineRule="auto"/>
        <w:jc w:val="both"/>
        <w:textAlignment w:val="baseline"/>
        <w:rPr>
          <w:rFonts w:hint="eastAsia" w:eastAsiaTheme="minorEastAsia"/>
          <w:lang w:val="en-US" w:eastAsia="zh-CN"/>
        </w:rPr>
      </w:pPr>
      <w:r>
        <w:rPr>
          <w:rFonts w:hint="eastAsia" w:eastAsiaTheme="minorEastAsia"/>
          <w:lang w:val="en-US" w:eastAsia="zh-CN"/>
        </w:rPr>
        <w:t>Next, the LS specifies the scenario shall be the regenerative mode, the following figure can be seen:</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525010" cy="2367280"/>
            <wp:effectExtent l="0" t="0" r="0" b="1016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7"/>
                    <a:stretch>
                      <a:fillRect/>
                    </a:stretch>
                  </pic:blipFill>
                  <pic:spPr>
                    <a:xfrm>
                      <a:off x="0" y="0"/>
                      <a:ext cx="4525010" cy="236728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eastAsia" w:eastAsiaTheme="minorEastAsia"/>
          <w:lang w:val="en-US" w:eastAsia="zh-CN"/>
        </w:rPr>
      </w:pPr>
      <w:r>
        <w:rPr>
          <w:rFonts w:hint="eastAsia" w:eastAsiaTheme="minorEastAsia"/>
          <w:lang w:val="en-US" w:eastAsia="zh-CN"/>
        </w:rPr>
        <w:t>Figure 2 Timing of regenerative mode</w:t>
      </w:r>
    </w:p>
    <w:p>
      <w:pPr>
        <w:overflowPunct w:val="0"/>
        <w:autoSpaceDE w:val="0"/>
        <w:autoSpaceDN w:val="0"/>
        <w:adjustRightInd w:val="0"/>
        <w:spacing w:before="120" w:after="120" w:line="360" w:lineRule="auto"/>
        <w:jc w:val="both"/>
        <w:textAlignment w:val="baseline"/>
        <w:rPr>
          <w:rFonts w:hint="eastAsia" w:eastAsiaTheme="minorEastAsia"/>
          <w:lang w:val="en-US" w:eastAsia="zh-CN"/>
        </w:rPr>
      </w:pPr>
      <w:r>
        <w:rPr>
          <w:rFonts w:hint="eastAsia" w:eastAsiaTheme="minorEastAsia"/>
          <w:lang w:val="en-US" w:eastAsia="zh-CN"/>
        </w:rPr>
        <w:t>Compared to legacy transparent payload, the gNB is on the satellite and there is no feeder link compared to legacy transparent payload. The same thing is that the network will send the Msg2 to UE and tell UE that the value of timing advance shall be adjusted. UE receives the timing advance adjustment via Msg2, it will transmit uplink signals to network with concrete timing advance value. The main difference is the common TA equals 0 which is common understanding for us  based on the RAN2</w:t>
      </w:r>
      <w:r>
        <w:rPr>
          <w:rFonts w:hint="default" w:eastAsiaTheme="minorEastAsia"/>
          <w:lang w:val="en-US" w:eastAsia="zh-CN"/>
        </w:rPr>
        <w:t>’</w:t>
      </w:r>
      <w:r>
        <w:rPr>
          <w:rFonts w:hint="eastAsia" w:eastAsiaTheme="minorEastAsia"/>
          <w:lang w:val="en-US" w:eastAsia="zh-CN"/>
        </w:rPr>
        <w:t xml:space="preserve">s agreement, that is, network shall configure common TA=0 to UE if this component is not excluded.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20" w:after="120" w:line="360" w:lineRule="auto"/>
              <w:jc w:val="both"/>
              <w:textAlignment w:val="baseline"/>
              <w:rPr>
                <w:rFonts w:hint="default" w:eastAsia="宋体"/>
                <w:sz w:val="22"/>
                <w:vertAlign w:val="baseline"/>
                <w:lang w:val="en-US" w:eastAsia="zh-CN"/>
              </w:rPr>
            </w:pPr>
            <w:r>
              <w:rPr>
                <w:rFonts w:hint="default"/>
                <w:highlight w:val="none"/>
                <w:lang w:val="en-US" w:eastAsia="zh-CN"/>
              </w:rPr>
              <w:t xml:space="preserve">RAN2 assumes that the typical setting for </w:t>
            </w:r>
            <w:r>
              <w:rPr>
                <w:rFonts w:hint="default"/>
                <w:highlight w:val="yellow"/>
                <w:lang w:val="en-US" w:eastAsia="zh-CN"/>
              </w:rPr>
              <w:t>common TA and kmac would be zero in case of regenerative mode with full gNB on board</w:t>
            </w:r>
            <w:r>
              <w:rPr>
                <w:rFonts w:hint="default"/>
                <w:highlight w:val="none"/>
                <w:lang w:val="en-US" w:eastAsia="zh-CN"/>
              </w:rPr>
              <w:t>. FF</w:t>
            </w:r>
            <w:r>
              <w:rPr>
                <w:rFonts w:hint="default"/>
                <w:lang w:val="en-US" w:eastAsia="zh-CN"/>
              </w:rPr>
              <w:t>S whether we capture in the spec that common TA and Kmac shall/should be set to zero.</w:t>
            </w:r>
          </w:p>
        </w:tc>
      </w:tr>
    </w:tbl>
    <w:p>
      <w:pPr>
        <w:overflowPunct w:val="0"/>
        <w:autoSpaceDE w:val="0"/>
        <w:autoSpaceDN w:val="0"/>
        <w:adjustRightInd w:val="0"/>
        <w:spacing w:before="120" w:after="120" w:line="360" w:lineRule="auto"/>
        <w:jc w:val="both"/>
        <w:textAlignment w:val="baseline"/>
        <w:rPr>
          <w:rFonts w:hint="default" w:eastAsia="宋体"/>
          <w:lang w:val="en-US" w:eastAsia="zh-CN"/>
        </w:rPr>
      </w:pPr>
      <w:r>
        <w:rPr>
          <w:rFonts w:hint="eastAsia" w:eastAsiaTheme="minorEastAsia"/>
          <w:lang w:val="en-US" w:eastAsia="zh-CN"/>
        </w:rPr>
        <w:t>Thus, timing advance adjustment will depend on N</w:t>
      </w:r>
      <w:r>
        <w:rPr>
          <w:rFonts w:hint="eastAsia" w:eastAsiaTheme="minorEastAsia"/>
          <w:vertAlign w:val="subscript"/>
          <w:lang w:val="en-US" w:eastAsia="zh-CN"/>
        </w:rPr>
        <w:t>TA</w:t>
      </w:r>
      <w:r>
        <w:rPr>
          <w:rFonts w:hint="eastAsia" w:eastAsiaTheme="minorEastAsia"/>
          <w:lang w:val="en-US" w:eastAsia="zh-CN"/>
        </w:rPr>
        <w:t xml:space="preserve"> and UE specific TA for regenerative mode. T</w:t>
      </w:r>
      <w:r>
        <w:rPr>
          <w:rFonts w:ascii="Times New Roman" w:hAnsi="Times New Roman" w:eastAsia="宋体" w:cs="Times New Roman"/>
          <w:sz w:val="20"/>
          <w:szCs w:val="20"/>
        </w:rPr>
        <w:t xml:space="preserve">he accuracy of the UE specific TA compensation for service link, which is derived based on the satellite </w:t>
      </w:r>
      <w:r>
        <w:rPr>
          <w:rFonts w:hint="eastAsia" w:ascii="Times New Roman" w:hAnsi="Times New Roman" w:eastAsia="宋体" w:cs="Times New Roman"/>
          <w:sz w:val="20"/>
          <w:szCs w:val="20"/>
        </w:rPr>
        <w:t>ephemeris</w:t>
      </w:r>
      <w:r>
        <w:rPr>
          <w:rFonts w:ascii="Times New Roman" w:hAnsi="Times New Roman" w:eastAsia="宋体" w:cs="Times New Roman"/>
          <w:sz w:val="20"/>
          <w:szCs w:val="20"/>
        </w:rPr>
        <w:t xml:space="preserve"> and UE location, it should be ensured by the UE without any over-compensation or under-compensation to </w:t>
      </w:r>
      <w:r>
        <w:rPr>
          <w:rFonts w:hint="eastAsia" w:ascii="Times New Roman" w:hAnsi="Times New Roman" w:eastAsia="宋体" w:cs="Times New Roman"/>
          <w:sz w:val="20"/>
          <w:szCs w:val="20"/>
        </w:rPr>
        <w:t>satisfy</w:t>
      </w:r>
      <w:r>
        <w:rPr>
          <w:rFonts w:ascii="Times New Roman" w:hAnsi="Times New Roman" w:eastAsia="宋体" w:cs="Times New Roman"/>
          <w:sz w:val="20"/>
          <w:szCs w:val="20"/>
        </w:rPr>
        <w:t xml:space="preserve"> the </w:t>
      </w:r>
      <w:r>
        <w:rPr>
          <w:rFonts w:hint="eastAsia" w:ascii="Times New Roman" w:hAnsi="Times New Roman" w:eastAsia="宋体" w:cs="Times New Roman"/>
          <w:sz w:val="20"/>
          <w:szCs w:val="20"/>
          <w:lang w:val="en-US" w:eastAsia="zh-CN"/>
        </w:rPr>
        <w:t xml:space="preserve">timing </w:t>
      </w:r>
      <w:r>
        <w:rPr>
          <w:rFonts w:ascii="Times New Roman" w:hAnsi="Times New Roman" w:eastAsia="宋体" w:cs="Times New Roman"/>
          <w:sz w:val="20"/>
          <w:szCs w:val="20"/>
        </w:rPr>
        <w:t>requirements</w:t>
      </w:r>
      <w:r>
        <w:rPr>
          <w:rFonts w:hint="eastAsia" w:ascii="Times New Roman" w:hAnsi="Times New Roman" w:eastAsia="宋体" w:cs="Times New Roman"/>
          <w:sz w:val="20"/>
          <w:szCs w:val="20"/>
          <w:lang w:val="en-US" w:eastAsia="zh-CN"/>
        </w:rPr>
        <w:t>. Since UE with GNSS capability can be realized in TS38.171, the concrete GNSS values have already been listed and Te requirements are calculated refer to the values in TS38.171:</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3"/>
        <w:gridCol w:w="1603"/>
        <w:gridCol w:w="1603"/>
        <w:gridCol w:w="1604"/>
        <w:gridCol w:w="1604"/>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vAlign w:val="center"/>
          </w:tcPr>
          <w:p>
            <w:pPr>
              <w:widowControl w:val="0"/>
              <w:adjustRightInd w:val="0"/>
              <w:snapToGrid w:val="0"/>
              <w:spacing w:after="0"/>
              <w:jc w:val="center"/>
              <w:rPr>
                <w:rFonts w:eastAsia="宋体"/>
                <w:b/>
                <w:lang w:eastAsia="zh-CN"/>
              </w:rPr>
            </w:pPr>
            <w:r>
              <w:rPr>
                <w:rFonts w:hint="eastAsia" w:eastAsia="宋体"/>
                <w:b/>
                <w:lang w:eastAsia="zh-CN"/>
              </w:rPr>
              <w:t>S</w:t>
            </w:r>
            <w:r>
              <w:rPr>
                <w:rFonts w:eastAsia="宋体"/>
                <w:b/>
                <w:lang w:eastAsia="zh-CN"/>
              </w:rPr>
              <w:t>cenario Type</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pPr>
              <w:widowControl w:val="0"/>
              <w:adjustRightInd w:val="0"/>
              <w:snapToGrid w:val="0"/>
              <w:spacing w:after="0"/>
              <w:jc w:val="center"/>
              <w:rPr>
                <w:rFonts w:eastAsia="宋体"/>
                <w:lang w:eastAsia="zh-CN"/>
              </w:rPr>
            </w:pPr>
            <w:r>
              <w:rPr>
                <w:rFonts w:eastAsia="宋体"/>
                <w:lang w:eastAsia="zh-CN"/>
              </w:rPr>
              <w:t>Moving scenario with periodic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Pr>
          <w:p>
            <w:pPr>
              <w:widowControl w:val="0"/>
              <w:adjustRightInd w:val="0"/>
              <w:snapToGrid w:val="0"/>
              <w:spacing w:after="0"/>
              <w:jc w:val="center"/>
              <w:rPr>
                <w:rFonts w:eastAsia="宋体"/>
                <w:b/>
                <w:lang w:eastAsia="zh-CN"/>
              </w:rPr>
            </w:pPr>
            <w:r>
              <w:rPr>
                <w:rFonts w:hint="eastAsia" w:eastAsia="宋体"/>
                <w:b/>
                <w:lang w:eastAsia="zh-CN"/>
              </w:rPr>
              <w:t>P</w:t>
            </w:r>
            <w:r>
              <w:rPr>
                <w:rFonts w:eastAsia="宋体"/>
                <w:b/>
                <w:lang w:eastAsia="zh-CN"/>
              </w:rPr>
              <w:t>osition Error</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3"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5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hint="eastAsia" w:eastAsia="宋体"/>
                <w:lang w:eastAsia="zh-CN"/>
              </w:rPr>
              <w:t>1</w:t>
            </w:r>
            <w:r>
              <w:rPr>
                <w:rFonts w:eastAsia="宋体"/>
                <w:lang w:eastAsia="zh-CN"/>
              </w:rPr>
              <w:t>00 m</w:t>
            </w:r>
          </w:p>
        </w:tc>
        <w:tc>
          <w:tcPr>
            <w:tcW w:w="1604" w:type="dxa"/>
          </w:tcPr>
          <w:p>
            <w:pPr>
              <w:widowControl w:val="0"/>
              <w:adjustRightInd w:val="0"/>
              <w:snapToGrid w:val="0"/>
              <w:spacing w:after="0"/>
              <w:jc w:val="center"/>
              <w:rPr>
                <w:rFonts w:eastAsia="宋体"/>
                <w:lang w:eastAsia="zh-CN"/>
              </w:rPr>
            </w:pPr>
            <w:r>
              <w:rPr>
                <w:rFonts w:eastAsia="宋体"/>
                <w:lang w:eastAsia="zh-CN"/>
              </w:rPr>
              <w:t>50 m</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 xml:space="preserve">Also, we RAN4 have already agreed that the ephemeris information in SIB19 shall be updated with certain period which is default acknowledgement in order to guarantee accuracy of satellite position and Te requirements.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eastAsia="宋体"/>
                <w:sz w:val="22"/>
                <w:lang w:val="en-US" w:eastAsia="zh-CN"/>
              </w:rPr>
            </w:pPr>
            <w:r>
              <w:rPr>
                <w:rFonts w:hint="eastAsia" w:eastAsia="宋体"/>
                <w:sz w:val="22"/>
                <w:lang w:val="en-US" w:eastAsia="zh-CN"/>
              </w:rPr>
              <w:t xml:space="preserve">In the discussion on R17 NR NTN, the UE UL timing accuracy requirements can be formulated as: </w:t>
            </w:r>
          </w:p>
          <w:p>
            <w:pPr>
              <w:ind w:left="568"/>
              <w:jc w:val="both"/>
              <w:rPr>
                <w:rFonts w:eastAsia="宋体"/>
                <w:sz w:val="22"/>
                <w:lang w:val="en-US" w:eastAsia="zh-CN"/>
              </w:rPr>
            </w:pPr>
            <w:r>
              <w:rPr>
                <w:rFonts w:hint="eastAsia" w:eastAsia="宋体"/>
                <w:sz w:val="22"/>
                <w:lang w:val="en-US" w:eastAsia="zh-CN"/>
              </w:rPr>
              <w:t>Te_NTN = Te_TN + Te_GNSS + Te_SAT , where</w:t>
            </w:r>
          </w:p>
          <w:p>
            <w:pPr>
              <w:numPr>
                <w:ilvl w:val="0"/>
                <w:numId w:val="3"/>
              </w:numPr>
              <w:tabs>
                <w:tab w:val="left" w:pos="1288"/>
              </w:tabs>
              <w:jc w:val="both"/>
              <w:rPr>
                <w:rFonts w:eastAsia="宋体"/>
                <w:sz w:val="22"/>
                <w:lang w:val="en-US" w:eastAsia="zh-CN"/>
              </w:rPr>
            </w:pPr>
            <w:r>
              <w:rPr>
                <w:rFonts w:hint="eastAsia" w:eastAsia="宋体"/>
                <w:sz w:val="22"/>
                <w:lang w:val="en-US" w:eastAsia="zh-CN"/>
              </w:rPr>
              <w:t xml:space="preserve">Te_TN: Legacy TN UE UL Timing Accuracy </w:t>
            </w:r>
          </w:p>
          <w:p>
            <w:pPr>
              <w:numPr>
                <w:ilvl w:val="0"/>
                <w:numId w:val="3"/>
              </w:numPr>
              <w:jc w:val="both"/>
              <w:rPr>
                <w:rFonts w:eastAsia="宋体"/>
                <w:sz w:val="22"/>
                <w:lang w:val="en-US" w:eastAsia="zh-CN"/>
              </w:rPr>
            </w:pPr>
            <w:r>
              <w:rPr>
                <w:rFonts w:hint="eastAsia" w:eastAsia="宋体"/>
                <w:sz w:val="22"/>
                <w:lang w:val="en-US" w:eastAsia="zh-CN"/>
              </w:rPr>
              <w:t xml:space="preserve">                  Te_GNSS is the GNSS accuracy, Te_GNSS = 2* (GNSS positioning accuracy/c);</w:t>
            </w:r>
          </w:p>
          <w:p>
            <w:pPr>
              <w:numPr>
                <w:ilvl w:val="0"/>
                <w:numId w:val="3"/>
              </w:numPr>
              <w:jc w:val="both"/>
              <w:rPr>
                <w:rFonts w:hint="default" w:eastAsia="宋体"/>
                <w:vertAlign w:val="baseline"/>
                <w:lang w:val="en-US" w:eastAsia="zh-CN"/>
              </w:rPr>
            </w:pPr>
            <w:r>
              <w:rPr>
                <w:rFonts w:hint="eastAsia" w:eastAsia="宋体"/>
                <w:sz w:val="22"/>
                <w:lang w:val="en-US" w:eastAsia="zh-CN"/>
              </w:rPr>
              <w:t xml:space="preserve">                  Te_SAT is the serving-satellite position estimation error, Te_SAT = 2* (serving-satellite positioning estimation accuracy /c)</w:t>
            </w:r>
          </w:p>
        </w:tc>
      </w:tr>
    </w:tbl>
    <w:p>
      <w:pPr>
        <w:overflowPunct w:val="0"/>
        <w:autoSpaceDE w:val="0"/>
        <w:autoSpaceDN w:val="0"/>
        <w:adjustRightInd w:val="0"/>
        <w:spacing w:before="120" w:after="120" w:line="360" w:lineRule="auto"/>
        <w:jc w:val="both"/>
        <w:textAlignment w:val="baseline"/>
        <w:rPr>
          <w:rFonts w:hint="eastAsia" w:eastAsia="宋体"/>
          <w:lang w:val="en-US" w:eastAsia="zh-CN"/>
        </w:rPr>
      </w:pPr>
      <w:r>
        <w:rPr>
          <w:rFonts w:hint="eastAsia" w:eastAsia="宋体"/>
          <w:lang w:val="en-US" w:eastAsia="zh-CN"/>
        </w:rPr>
        <w:t>Thus, we do not think the normal UE will experience the over-compensation situation since the factors of UE timing pre-compensation are all considered precisely and network can also help UE to adjust timing via Msg2. Therefore, there is no need to consider the negative values for common TA.</w:t>
      </w:r>
    </w:p>
    <w:p>
      <w:pPr>
        <w:overflowPunct w:val="0"/>
        <w:autoSpaceDE w:val="0"/>
        <w:autoSpaceDN w:val="0"/>
        <w:adjustRightInd w:val="0"/>
        <w:spacing w:before="120" w:after="120" w:line="360" w:lineRule="auto"/>
        <w:jc w:val="both"/>
        <w:textAlignment w:val="baseline"/>
        <w:rPr>
          <w:rFonts w:hint="eastAsia" w:eastAsia="宋体"/>
          <w:b/>
          <w:bCs/>
          <w:lang w:val="en-US" w:eastAsia="zh-CN"/>
        </w:rPr>
      </w:pPr>
      <w:r>
        <w:rPr>
          <w:rFonts w:hint="eastAsia" w:eastAsia="宋体"/>
          <w:b/>
          <w:bCs/>
          <w:lang w:val="en-US" w:eastAsia="zh-CN"/>
        </w:rPr>
        <w:t>Observation 1: The GNSS capability and SIB19 information for UE timing pre-compensation are all considered precisely and network can also help UE to adjust timing via Msg2.</w:t>
      </w:r>
    </w:p>
    <w:p>
      <w:pPr>
        <w:overflowPunct w:val="0"/>
        <w:autoSpaceDE w:val="0"/>
        <w:autoSpaceDN w:val="0"/>
        <w:adjustRightInd w:val="0"/>
        <w:spacing w:before="120" w:after="120" w:line="360" w:lineRule="auto"/>
        <w:jc w:val="both"/>
        <w:textAlignment w:val="baseline"/>
        <w:rPr>
          <w:rFonts w:hint="default"/>
          <w:b/>
          <w:bCs/>
          <w:lang w:val="en-US" w:eastAsia="zh-CN"/>
        </w:rPr>
      </w:pPr>
      <w:r>
        <w:rPr>
          <w:rFonts w:hint="eastAsia" w:eastAsia="宋体"/>
          <w:b/>
          <w:bCs/>
          <w:lang w:val="en-US" w:eastAsia="zh-CN"/>
        </w:rPr>
        <w:t xml:space="preserve">Proposal1: There is no need to consider the negative values for common TA. </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LS from RAN2 on common TA in a regenerative mode</w:t>
      </w:r>
      <w:r>
        <w:rPr>
          <w:rFonts w:eastAsia="宋体"/>
          <w:lang w:eastAsia="zh-CN"/>
        </w:rPr>
        <w:t>.</w:t>
      </w:r>
    </w:p>
    <w:p>
      <w:pPr>
        <w:overflowPunct w:val="0"/>
        <w:autoSpaceDE w:val="0"/>
        <w:autoSpaceDN w:val="0"/>
        <w:adjustRightInd w:val="0"/>
        <w:spacing w:before="120" w:after="120" w:line="360" w:lineRule="auto"/>
        <w:jc w:val="both"/>
        <w:textAlignment w:val="baseline"/>
        <w:rPr>
          <w:rFonts w:hint="eastAsia" w:eastAsia="宋体"/>
          <w:b/>
          <w:bCs/>
          <w:lang w:val="en-US" w:eastAsia="zh-CN"/>
        </w:rPr>
      </w:pPr>
      <w:r>
        <w:rPr>
          <w:rFonts w:hint="eastAsia" w:eastAsia="宋体"/>
          <w:b/>
          <w:bCs/>
          <w:lang w:val="en-US" w:eastAsia="zh-CN"/>
        </w:rPr>
        <w:t>Observation 1: The GNSS capability and SIB19 information for UE timing pre-compensation are all considered precisely and network can also help UE to adjust timing via Msg2.</w:t>
      </w:r>
    </w:p>
    <w:p>
      <w:pPr>
        <w:overflowPunct w:val="0"/>
        <w:autoSpaceDE w:val="0"/>
        <w:autoSpaceDN w:val="0"/>
        <w:adjustRightInd w:val="0"/>
        <w:spacing w:before="120" w:after="120" w:line="360" w:lineRule="auto"/>
        <w:jc w:val="both"/>
        <w:textAlignment w:val="baseline"/>
        <w:rPr>
          <w:rFonts w:eastAsia="宋体"/>
          <w:lang w:eastAsia="zh-CN"/>
        </w:rPr>
      </w:pPr>
      <w:r>
        <w:rPr>
          <w:rFonts w:hint="eastAsia" w:eastAsia="宋体"/>
          <w:b/>
          <w:bCs/>
          <w:lang w:val="en-US" w:eastAsia="zh-CN"/>
        </w:rPr>
        <w:t>Proposal 1: There is no need to consider the negative values for common TA. The concrete values for common TA shall be defined in RAN1.</w:t>
      </w:r>
    </w:p>
    <w:p>
      <w:pPr>
        <w:pStyle w:val="76"/>
        <w:numPr>
          <w:ilvl w:val="0"/>
          <w:numId w:val="0"/>
        </w:numPr>
        <w:ind w:left="360" w:hanging="360"/>
        <w:rPr>
          <w:lang w:val="en-US"/>
        </w:rPr>
      </w:pPr>
      <w:r>
        <w:rPr>
          <w:lang w:val="en-US"/>
        </w:rPr>
        <w:t>References</w:t>
      </w:r>
    </w:p>
    <w:p>
      <w:pPr>
        <w:numPr>
          <w:ilvl w:val="0"/>
          <w:numId w:val="4"/>
        </w:numPr>
        <w:rPr>
          <w:rFonts w:hint="eastAsia" w:eastAsia="宋体"/>
          <w:lang w:val="en-US" w:eastAsia="zh-CN"/>
        </w:rPr>
      </w:pPr>
      <w:bookmarkStart w:id="0" w:name="_Ref114500673"/>
      <w:bookmarkEnd w:id="0"/>
      <w:r>
        <w:rPr>
          <w:rFonts w:hint="eastAsia" w:eastAsia="宋体"/>
          <w:lang w:val="en-US" w:eastAsia="zh-CN"/>
        </w:rPr>
        <w:t>TS38.171</w:t>
      </w:r>
    </w:p>
    <w:p>
      <w:pPr>
        <w:numPr>
          <w:ilvl w:val="0"/>
          <w:numId w:val="4"/>
        </w:numPr>
        <w:rPr>
          <w:rFonts w:hint="default" w:eastAsia="宋体"/>
          <w:lang w:val="en-US" w:eastAsia="zh-CN"/>
        </w:rPr>
      </w:pPr>
      <w:r>
        <w:rPr>
          <w:rFonts w:hint="eastAsia" w:eastAsia="宋体"/>
          <w:lang w:val="en-US" w:eastAsia="zh-CN"/>
        </w:rPr>
        <w:t xml:space="preserve"> TS 38.133</w:t>
      </w:r>
    </w:p>
    <w:p>
      <w:pPr>
        <w:numPr>
          <w:ilvl w:val="0"/>
          <w:numId w:val="4"/>
        </w:numPr>
        <w:rPr>
          <w:rFonts w:hint="default" w:eastAsia="宋体"/>
          <w:lang w:val="en-US" w:eastAsia="zh-CN"/>
        </w:rPr>
      </w:pPr>
      <w:r>
        <w:rPr>
          <w:rFonts w:hint="eastAsia" w:eastAsia="宋体"/>
          <w:lang w:val="en-US" w:eastAsia="zh-CN"/>
        </w:rPr>
        <w:t xml:space="preserve"> R2-2407623</w:t>
      </w:r>
      <w:r>
        <w:rPr>
          <w:rFonts w:hint="eastAsia" w:eastAsia="宋体"/>
          <w:lang w:val="en-US" w:eastAsia="zh-CN"/>
        </w:rPr>
        <w:tab/>
      </w:r>
      <w:r>
        <w:rPr>
          <w:rFonts w:hint="eastAsia" w:eastAsia="宋体"/>
          <w:lang w:val="en-US" w:eastAsia="zh-CN"/>
        </w:rPr>
        <w:t>LS on common TA in a regenerative payload scenario, CMCC</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79EBD"/>
    <w:multiLevelType w:val="singleLevel"/>
    <w:tmpl w:val="0D379EBD"/>
    <w:lvl w:ilvl="0" w:tentative="0">
      <w:start w:val="1"/>
      <w:numFmt w:val="bullet"/>
      <w:lvlText w:val=""/>
      <w:lvlJc w:val="left"/>
      <w:pPr>
        <w:ind w:left="420" w:hanging="420"/>
      </w:pPr>
      <w:rPr>
        <w:rFonts w:hint="default" w:ascii="Wingdings" w:hAnsi="Wingdings"/>
      </w:rPr>
    </w:lvl>
  </w:abstractNum>
  <w:abstractNum w:abstractNumId="1">
    <w:nsid w:val="1FEA4FA6"/>
    <w:multiLevelType w:val="singleLevel"/>
    <w:tmpl w:val="1FEA4FA6"/>
    <w:lvl w:ilvl="0" w:tentative="0">
      <w:start w:val="1"/>
      <w:numFmt w:val="decimal"/>
      <w:suff w:val="space"/>
      <w:lvlText w:val="[%1]"/>
      <w:lvlJc w:val="left"/>
    </w:lvl>
  </w:abstractNum>
  <w:abstractNum w:abstractNumId="2">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869F9"/>
    <w:rsid w:val="00F9008D"/>
    <w:rsid w:val="00FA1266"/>
    <w:rsid w:val="00FA4E78"/>
    <w:rsid w:val="00FC1192"/>
    <w:rsid w:val="011629BA"/>
    <w:rsid w:val="01295F0D"/>
    <w:rsid w:val="01410DC2"/>
    <w:rsid w:val="01536085"/>
    <w:rsid w:val="0158163D"/>
    <w:rsid w:val="01652E48"/>
    <w:rsid w:val="018C100A"/>
    <w:rsid w:val="018F1743"/>
    <w:rsid w:val="018F25C8"/>
    <w:rsid w:val="01906A5B"/>
    <w:rsid w:val="01907C39"/>
    <w:rsid w:val="01A966B5"/>
    <w:rsid w:val="01E70C97"/>
    <w:rsid w:val="01EA15CF"/>
    <w:rsid w:val="02174207"/>
    <w:rsid w:val="02402E7C"/>
    <w:rsid w:val="02505886"/>
    <w:rsid w:val="029011A2"/>
    <w:rsid w:val="02A03627"/>
    <w:rsid w:val="02DB4554"/>
    <w:rsid w:val="02EC4357"/>
    <w:rsid w:val="02EE768C"/>
    <w:rsid w:val="02F0687C"/>
    <w:rsid w:val="02FA1082"/>
    <w:rsid w:val="031778E0"/>
    <w:rsid w:val="0327096F"/>
    <w:rsid w:val="032A315A"/>
    <w:rsid w:val="03481CC2"/>
    <w:rsid w:val="034E163D"/>
    <w:rsid w:val="03BF3D9F"/>
    <w:rsid w:val="03C80AD2"/>
    <w:rsid w:val="03C95263"/>
    <w:rsid w:val="03F0584F"/>
    <w:rsid w:val="03FB5627"/>
    <w:rsid w:val="04076F95"/>
    <w:rsid w:val="04242812"/>
    <w:rsid w:val="04383CC9"/>
    <w:rsid w:val="04421BA4"/>
    <w:rsid w:val="044B12E0"/>
    <w:rsid w:val="046301A2"/>
    <w:rsid w:val="04732FB8"/>
    <w:rsid w:val="04871DE8"/>
    <w:rsid w:val="048F6485"/>
    <w:rsid w:val="04A12403"/>
    <w:rsid w:val="04A815F7"/>
    <w:rsid w:val="04AD06A4"/>
    <w:rsid w:val="04BD1E3A"/>
    <w:rsid w:val="050C7718"/>
    <w:rsid w:val="05214F03"/>
    <w:rsid w:val="055D4823"/>
    <w:rsid w:val="055E02FB"/>
    <w:rsid w:val="056A3BE2"/>
    <w:rsid w:val="05AE2916"/>
    <w:rsid w:val="05B1379B"/>
    <w:rsid w:val="05BB0E6A"/>
    <w:rsid w:val="05C6466C"/>
    <w:rsid w:val="05DB67C3"/>
    <w:rsid w:val="05F02736"/>
    <w:rsid w:val="06026AB1"/>
    <w:rsid w:val="060D0D66"/>
    <w:rsid w:val="062C2061"/>
    <w:rsid w:val="06311BAC"/>
    <w:rsid w:val="067C67DB"/>
    <w:rsid w:val="068158A4"/>
    <w:rsid w:val="068A670E"/>
    <w:rsid w:val="06902E51"/>
    <w:rsid w:val="06C67FD4"/>
    <w:rsid w:val="07007517"/>
    <w:rsid w:val="07073FA3"/>
    <w:rsid w:val="072F7FC6"/>
    <w:rsid w:val="0732584E"/>
    <w:rsid w:val="073D1FEE"/>
    <w:rsid w:val="075A7EF6"/>
    <w:rsid w:val="076202A2"/>
    <w:rsid w:val="076A2A73"/>
    <w:rsid w:val="07AE506C"/>
    <w:rsid w:val="07C22AAD"/>
    <w:rsid w:val="07C3764D"/>
    <w:rsid w:val="07F66AC5"/>
    <w:rsid w:val="0833764C"/>
    <w:rsid w:val="084677D5"/>
    <w:rsid w:val="0848005E"/>
    <w:rsid w:val="084B1A9E"/>
    <w:rsid w:val="084C657D"/>
    <w:rsid w:val="084D12F0"/>
    <w:rsid w:val="087B6B61"/>
    <w:rsid w:val="087E40F9"/>
    <w:rsid w:val="08916AA8"/>
    <w:rsid w:val="089F664F"/>
    <w:rsid w:val="08A203F3"/>
    <w:rsid w:val="08AF00C1"/>
    <w:rsid w:val="08B531C0"/>
    <w:rsid w:val="08BB1078"/>
    <w:rsid w:val="08BD1F16"/>
    <w:rsid w:val="08D53034"/>
    <w:rsid w:val="08DA28B3"/>
    <w:rsid w:val="08DD2BEF"/>
    <w:rsid w:val="0903652D"/>
    <w:rsid w:val="090556C6"/>
    <w:rsid w:val="09104DCD"/>
    <w:rsid w:val="094C40B4"/>
    <w:rsid w:val="09606948"/>
    <w:rsid w:val="096E0D4F"/>
    <w:rsid w:val="09736AE0"/>
    <w:rsid w:val="09E30E5D"/>
    <w:rsid w:val="0A143BE1"/>
    <w:rsid w:val="0A286DFB"/>
    <w:rsid w:val="0A5164D1"/>
    <w:rsid w:val="0A6C43DE"/>
    <w:rsid w:val="0ABC02E8"/>
    <w:rsid w:val="0AC16484"/>
    <w:rsid w:val="0ACB2015"/>
    <w:rsid w:val="0AD20D5E"/>
    <w:rsid w:val="0AD555AC"/>
    <w:rsid w:val="0AED24FC"/>
    <w:rsid w:val="0B0F4A80"/>
    <w:rsid w:val="0B1B1997"/>
    <w:rsid w:val="0B24532C"/>
    <w:rsid w:val="0B3F6621"/>
    <w:rsid w:val="0B4D2A88"/>
    <w:rsid w:val="0B527B25"/>
    <w:rsid w:val="0B5E0983"/>
    <w:rsid w:val="0B6A4840"/>
    <w:rsid w:val="0B707256"/>
    <w:rsid w:val="0B7129F9"/>
    <w:rsid w:val="0B72362F"/>
    <w:rsid w:val="0B744B6D"/>
    <w:rsid w:val="0B7E60C9"/>
    <w:rsid w:val="0B8730CC"/>
    <w:rsid w:val="0B927AF3"/>
    <w:rsid w:val="0BA069F6"/>
    <w:rsid w:val="0BB6397D"/>
    <w:rsid w:val="0BE05B3D"/>
    <w:rsid w:val="0BEF4F2C"/>
    <w:rsid w:val="0BF03462"/>
    <w:rsid w:val="0BF56721"/>
    <w:rsid w:val="0C5161F8"/>
    <w:rsid w:val="0C52360D"/>
    <w:rsid w:val="0C7C1976"/>
    <w:rsid w:val="0CAC6DE2"/>
    <w:rsid w:val="0CBA5E3E"/>
    <w:rsid w:val="0CCB3B11"/>
    <w:rsid w:val="0CDE55BC"/>
    <w:rsid w:val="0CDF3914"/>
    <w:rsid w:val="0CEA2CF7"/>
    <w:rsid w:val="0D035130"/>
    <w:rsid w:val="0D23336E"/>
    <w:rsid w:val="0D284B82"/>
    <w:rsid w:val="0D2B1D29"/>
    <w:rsid w:val="0D3A5239"/>
    <w:rsid w:val="0D3A7039"/>
    <w:rsid w:val="0D4356A8"/>
    <w:rsid w:val="0D8735F9"/>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0440"/>
    <w:rsid w:val="0F3A116B"/>
    <w:rsid w:val="0F511411"/>
    <w:rsid w:val="0F703346"/>
    <w:rsid w:val="0F80004E"/>
    <w:rsid w:val="0F871EAB"/>
    <w:rsid w:val="0F9F1528"/>
    <w:rsid w:val="0FB01FD7"/>
    <w:rsid w:val="0FDF5A14"/>
    <w:rsid w:val="1008703A"/>
    <w:rsid w:val="10126FBC"/>
    <w:rsid w:val="103809FF"/>
    <w:rsid w:val="10764104"/>
    <w:rsid w:val="10867B0A"/>
    <w:rsid w:val="1096068D"/>
    <w:rsid w:val="10B951CF"/>
    <w:rsid w:val="10BB3068"/>
    <w:rsid w:val="10D82C05"/>
    <w:rsid w:val="110E3EB6"/>
    <w:rsid w:val="11131D94"/>
    <w:rsid w:val="111778A8"/>
    <w:rsid w:val="111E4B32"/>
    <w:rsid w:val="1124277B"/>
    <w:rsid w:val="11617971"/>
    <w:rsid w:val="11622F64"/>
    <w:rsid w:val="116F4939"/>
    <w:rsid w:val="11846297"/>
    <w:rsid w:val="118660F9"/>
    <w:rsid w:val="11AD4D58"/>
    <w:rsid w:val="11B67206"/>
    <w:rsid w:val="11BA4661"/>
    <w:rsid w:val="11BA6A1A"/>
    <w:rsid w:val="11C833BC"/>
    <w:rsid w:val="11E411C4"/>
    <w:rsid w:val="11EE75FC"/>
    <w:rsid w:val="11FA2349"/>
    <w:rsid w:val="12044AB3"/>
    <w:rsid w:val="12342A01"/>
    <w:rsid w:val="12533BE9"/>
    <w:rsid w:val="126548EE"/>
    <w:rsid w:val="128072E8"/>
    <w:rsid w:val="12817181"/>
    <w:rsid w:val="129E41E5"/>
    <w:rsid w:val="12AA4BE9"/>
    <w:rsid w:val="12C003F7"/>
    <w:rsid w:val="12C7679B"/>
    <w:rsid w:val="12DD774D"/>
    <w:rsid w:val="12E20B88"/>
    <w:rsid w:val="133E4EC4"/>
    <w:rsid w:val="136404F3"/>
    <w:rsid w:val="137E2663"/>
    <w:rsid w:val="13B61E8E"/>
    <w:rsid w:val="13C23A1B"/>
    <w:rsid w:val="13C76244"/>
    <w:rsid w:val="13CF28FB"/>
    <w:rsid w:val="13DA7C15"/>
    <w:rsid w:val="13EA5E5F"/>
    <w:rsid w:val="14107AE9"/>
    <w:rsid w:val="14175E0A"/>
    <w:rsid w:val="141F1BA5"/>
    <w:rsid w:val="142A2204"/>
    <w:rsid w:val="1472255F"/>
    <w:rsid w:val="14782396"/>
    <w:rsid w:val="148942E3"/>
    <w:rsid w:val="148B031E"/>
    <w:rsid w:val="14AC25B0"/>
    <w:rsid w:val="14AE0BED"/>
    <w:rsid w:val="14AF303C"/>
    <w:rsid w:val="14BE55AD"/>
    <w:rsid w:val="14E52CFF"/>
    <w:rsid w:val="1502113A"/>
    <w:rsid w:val="151308D4"/>
    <w:rsid w:val="15281376"/>
    <w:rsid w:val="15422545"/>
    <w:rsid w:val="1555138F"/>
    <w:rsid w:val="156508EF"/>
    <w:rsid w:val="15692F72"/>
    <w:rsid w:val="15693006"/>
    <w:rsid w:val="15716A99"/>
    <w:rsid w:val="157177C3"/>
    <w:rsid w:val="1581047E"/>
    <w:rsid w:val="15895642"/>
    <w:rsid w:val="158C2634"/>
    <w:rsid w:val="15A444EB"/>
    <w:rsid w:val="15B0540D"/>
    <w:rsid w:val="15B7532E"/>
    <w:rsid w:val="15C84147"/>
    <w:rsid w:val="15CA017F"/>
    <w:rsid w:val="15D71AD5"/>
    <w:rsid w:val="15DC38C2"/>
    <w:rsid w:val="15F23B4A"/>
    <w:rsid w:val="15FC08F6"/>
    <w:rsid w:val="1646133C"/>
    <w:rsid w:val="16592BE1"/>
    <w:rsid w:val="165931D9"/>
    <w:rsid w:val="16682D3E"/>
    <w:rsid w:val="167046E9"/>
    <w:rsid w:val="167E382D"/>
    <w:rsid w:val="16A02A9A"/>
    <w:rsid w:val="16DC0535"/>
    <w:rsid w:val="170716B6"/>
    <w:rsid w:val="1748083E"/>
    <w:rsid w:val="17553F9F"/>
    <w:rsid w:val="175623CE"/>
    <w:rsid w:val="176538DA"/>
    <w:rsid w:val="1794775D"/>
    <w:rsid w:val="179C49C1"/>
    <w:rsid w:val="17C376AD"/>
    <w:rsid w:val="17CB4905"/>
    <w:rsid w:val="17D01F3A"/>
    <w:rsid w:val="17DC7DAF"/>
    <w:rsid w:val="17DF40F7"/>
    <w:rsid w:val="180E4FC5"/>
    <w:rsid w:val="18171331"/>
    <w:rsid w:val="18396192"/>
    <w:rsid w:val="184A4BE3"/>
    <w:rsid w:val="185060EC"/>
    <w:rsid w:val="185A42FA"/>
    <w:rsid w:val="18743D16"/>
    <w:rsid w:val="18870C54"/>
    <w:rsid w:val="189D2207"/>
    <w:rsid w:val="18A45C40"/>
    <w:rsid w:val="18D57338"/>
    <w:rsid w:val="18E96032"/>
    <w:rsid w:val="18EE62E8"/>
    <w:rsid w:val="18F96461"/>
    <w:rsid w:val="190800BC"/>
    <w:rsid w:val="19116F8E"/>
    <w:rsid w:val="19551A74"/>
    <w:rsid w:val="195F7D63"/>
    <w:rsid w:val="197C2433"/>
    <w:rsid w:val="19933139"/>
    <w:rsid w:val="19AC4F46"/>
    <w:rsid w:val="19D57461"/>
    <w:rsid w:val="19E74602"/>
    <w:rsid w:val="19EE7D0B"/>
    <w:rsid w:val="1A077D86"/>
    <w:rsid w:val="1A085685"/>
    <w:rsid w:val="1A191F3E"/>
    <w:rsid w:val="1A5163D6"/>
    <w:rsid w:val="1A54768F"/>
    <w:rsid w:val="1A5A669E"/>
    <w:rsid w:val="1A796C32"/>
    <w:rsid w:val="1AB9028C"/>
    <w:rsid w:val="1AC56317"/>
    <w:rsid w:val="1AD232EA"/>
    <w:rsid w:val="1AD6319E"/>
    <w:rsid w:val="1B2C5C22"/>
    <w:rsid w:val="1B47747B"/>
    <w:rsid w:val="1B4B651F"/>
    <w:rsid w:val="1B777BC9"/>
    <w:rsid w:val="1B7D10D5"/>
    <w:rsid w:val="1B8D6B92"/>
    <w:rsid w:val="1B936CD6"/>
    <w:rsid w:val="1B990279"/>
    <w:rsid w:val="1B9B4E1C"/>
    <w:rsid w:val="1B9C50E9"/>
    <w:rsid w:val="1BAA5FDD"/>
    <w:rsid w:val="1BAD4429"/>
    <w:rsid w:val="1BB80557"/>
    <w:rsid w:val="1BBC1606"/>
    <w:rsid w:val="1BD91A80"/>
    <w:rsid w:val="1BE641ED"/>
    <w:rsid w:val="1BF24F3D"/>
    <w:rsid w:val="1C1D36F1"/>
    <w:rsid w:val="1C291BAA"/>
    <w:rsid w:val="1C386892"/>
    <w:rsid w:val="1C4A2683"/>
    <w:rsid w:val="1C5F292D"/>
    <w:rsid w:val="1C5F3B2B"/>
    <w:rsid w:val="1C631E26"/>
    <w:rsid w:val="1C7530BF"/>
    <w:rsid w:val="1C7C6848"/>
    <w:rsid w:val="1CBC5611"/>
    <w:rsid w:val="1CD22EF6"/>
    <w:rsid w:val="1CD7177C"/>
    <w:rsid w:val="1CEE3304"/>
    <w:rsid w:val="1CF005FD"/>
    <w:rsid w:val="1CF6531E"/>
    <w:rsid w:val="1CF73467"/>
    <w:rsid w:val="1D0B195E"/>
    <w:rsid w:val="1D3570D5"/>
    <w:rsid w:val="1D4E0EB2"/>
    <w:rsid w:val="1D693FA7"/>
    <w:rsid w:val="1D8944CD"/>
    <w:rsid w:val="1D8F4E65"/>
    <w:rsid w:val="1DB553DF"/>
    <w:rsid w:val="1DBF1882"/>
    <w:rsid w:val="1DF17BE1"/>
    <w:rsid w:val="1E4719A3"/>
    <w:rsid w:val="1E5F1F97"/>
    <w:rsid w:val="1E6C5F4E"/>
    <w:rsid w:val="1EA65561"/>
    <w:rsid w:val="1EAD4127"/>
    <w:rsid w:val="1EB70BD9"/>
    <w:rsid w:val="1EB8797A"/>
    <w:rsid w:val="1EEC719E"/>
    <w:rsid w:val="1EF7018A"/>
    <w:rsid w:val="1F0242AA"/>
    <w:rsid w:val="1F044236"/>
    <w:rsid w:val="1F053CF4"/>
    <w:rsid w:val="1F25251D"/>
    <w:rsid w:val="1F2B5438"/>
    <w:rsid w:val="1F390590"/>
    <w:rsid w:val="1F424A01"/>
    <w:rsid w:val="1F4C6748"/>
    <w:rsid w:val="1F5347FE"/>
    <w:rsid w:val="1F595467"/>
    <w:rsid w:val="1F5B2F4F"/>
    <w:rsid w:val="1F5C06A1"/>
    <w:rsid w:val="1FB80942"/>
    <w:rsid w:val="1FBB5482"/>
    <w:rsid w:val="2001262E"/>
    <w:rsid w:val="200A7715"/>
    <w:rsid w:val="200D64BE"/>
    <w:rsid w:val="20153599"/>
    <w:rsid w:val="201B2789"/>
    <w:rsid w:val="20256516"/>
    <w:rsid w:val="20354CE9"/>
    <w:rsid w:val="20584BED"/>
    <w:rsid w:val="20D60AAE"/>
    <w:rsid w:val="21061BA2"/>
    <w:rsid w:val="2121427E"/>
    <w:rsid w:val="21262CBA"/>
    <w:rsid w:val="212B1C97"/>
    <w:rsid w:val="21361FB5"/>
    <w:rsid w:val="214B3D89"/>
    <w:rsid w:val="21575426"/>
    <w:rsid w:val="215C1F77"/>
    <w:rsid w:val="2177769E"/>
    <w:rsid w:val="21D25FF2"/>
    <w:rsid w:val="21F70210"/>
    <w:rsid w:val="22344A9E"/>
    <w:rsid w:val="22363269"/>
    <w:rsid w:val="223C2DAF"/>
    <w:rsid w:val="223E2651"/>
    <w:rsid w:val="224E39C0"/>
    <w:rsid w:val="226575C4"/>
    <w:rsid w:val="22682C5C"/>
    <w:rsid w:val="226D3EEA"/>
    <w:rsid w:val="226E077B"/>
    <w:rsid w:val="22704963"/>
    <w:rsid w:val="22923DE9"/>
    <w:rsid w:val="22973417"/>
    <w:rsid w:val="229D5794"/>
    <w:rsid w:val="22C17DB5"/>
    <w:rsid w:val="22C35292"/>
    <w:rsid w:val="22C629AC"/>
    <w:rsid w:val="22DD27AA"/>
    <w:rsid w:val="22E96F92"/>
    <w:rsid w:val="23060CEA"/>
    <w:rsid w:val="230D3451"/>
    <w:rsid w:val="230E5678"/>
    <w:rsid w:val="23257653"/>
    <w:rsid w:val="23441FFA"/>
    <w:rsid w:val="234B3276"/>
    <w:rsid w:val="23773623"/>
    <w:rsid w:val="2377693D"/>
    <w:rsid w:val="239F724D"/>
    <w:rsid w:val="23AB1721"/>
    <w:rsid w:val="23EF0BE1"/>
    <w:rsid w:val="24002E5E"/>
    <w:rsid w:val="245A6743"/>
    <w:rsid w:val="246A08B9"/>
    <w:rsid w:val="24754B15"/>
    <w:rsid w:val="247F64CC"/>
    <w:rsid w:val="248D420D"/>
    <w:rsid w:val="24921B27"/>
    <w:rsid w:val="24A0121D"/>
    <w:rsid w:val="24B97631"/>
    <w:rsid w:val="24C90419"/>
    <w:rsid w:val="24E077C8"/>
    <w:rsid w:val="24E32289"/>
    <w:rsid w:val="24ED1C1E"/>
    <w:rsid w:val="24F0284D"/>
    <w:rsid w:val="250E20E4"/>
    <w:rsid w:val="25202C91"/>
    <w:rsid w:val="252331A5"/>
    <w:rsid w:val="252733A0"/>
    <w:rsid w:val="25425A19"/>
    <w:rsid w:val="25490B3E"/>
    <w:rsid w:val="256F1A53"/>
    <w:rsid w:val="258B2F2B"/>
    <w:rsid w:val="258B31A0"/>
    <w:rsid w:val="259557B7"/>
    <w:rsid w:val="25AB3D1C"/>
    <w:rsid w:val="25AB7D6B"/>
    <w:rsid w:val="25D90A1B"/>
    <w:rsid w:val="25E22192"/>
    <w:rsid w:val="25F332FF"/>
    <w:rsid w:val="25FE37D6"/>
    <w:rsid w:val="26274BB6"/>
    <w:rsid w:val="26356536"/>
    <w:rsid w:val="26436BD4"/>
    <w:rsid w:val="268B243A"/>
    <w:rsid w:val="269C627F"/>
    <w:rsid w:val="26AA20D3"/>
    <w:rsid w:val="26B43DCE"/>
    <w:rsid w:val="26C705B0"/>
    <w:rsid w:val="26DD3B73"/>
    <w:rsid w:val="26E576C7"/>
    <w:rsid w:val="26F04260"/>
    <w:rsid w:val="26F81EB4"/>
    <w:rsid w:val="26FB2F1B"/>
    <w:rsid w:val="27310B9A"/>
    <w:rsid w:val="273E1C11"/>
    <w:rsid w:val="275265C3"/>
    <w:rsid w:val="276B112C"/>
    <w:rsid w:val="27815619"/>
    <w:rsid w:val="279E2679"/>
    <w:rsid w:val="279F554C"/>
    <w:rsid w:val="27D65541"/>
    <w:rsid w:val="27EC5FCE"/>
    <w:rsid w:val="285D2747"/>
    <w:rsid w:val="286651CF"/>
    <w:rsid w:val="28671C46"/>
    <w:rsid w:val="2897657D"/>
    <w:rsid w:val="28AB19F4"/>
    <w:rsid w:val="28D71E0B"/>
    <w:rsid w:val="28DC39BE"/>
    <w:rsid w:val="28DD5BCB"/>
    <w:rsid w:val="28E01F8A"/>
    <w:rsid w:val="28F045AC"/>
    <w:rsid w:val="291D583E"/>
    <w:rsid w:val="29602BC4"/>
    <w:rsid w:val="298B4A0C"/>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D06022"/>
    <w:rsid w:val="2AD63975"/>
    <w:rsid w:val="2ADD1B0D"/>
    <w:rsid w:val="2AEC47FC"/>
    <w:rsid w:val="2AF1331E"/>
    <w:rsid w:val="2AF81BE3"/>
    <w:rsid w:val="2AFF23A5"/>
    <w:rsid w:val="2B09588E"/>
    <w:rsid w:val="2B361003"/>
    <w:rsid w:val="2B3762A6"/>
    <w:rsid w:val="2B3C6641"/>
    <w:rsid w:val="2B5B0F6E"/>
    <w:rsid w:val="2B902B07"/>
    <w:rsid w:val="2B925FDF"/>
    <w:rsid w:val="2B9970F1"/>
    <w:rsid w:val="2BE501C7"/>
    <w:rsid w:val="2BE75DF7"/>
    <w:rsid w:val="2BED2E55"/>
    <w:rsid w:val="2C1738CF"/>
    <w:rsid w:val="2C1945D8"/>
    <w:rsid w:val="2C45082A"/>
    <w:rsid w:val="2C481E33"/>
    <w:rsid w:val="2C6C7918"/>
    <w:rsid w:val="2C783906"/>
    <w:rsid w:val="2CB5787B"/>
    <w:rsid w:val="2CCA4381"/>
    <w:rsid w:val="2CD30F03"/>
    <w:rsid w:val="2CF249BE"/>
    <w:rsid w:val="2CFC1554"/>
    <w:rsid w:val="2CFF3512"/>
    <w:rsid w:val="2D0B7148"/>
    <w:rsid w:val="2D17770B"/>
    <w:rsid w:val="2D354DCA"/>
    <w:rsid w:val="2D6E6943"/>
    <w:rsid w:val="2D7E4AF7"/>
    <w:rsid w:val="2D8519AC"/>
    <w:rsid w:val="2D87777E"/>
    <w:rsid w:val="2D8E349F"/>
    <w:rsid w:val="2D9469E6"/>
    <w:rsid w:val="2D9D7A77"/>
    <w:rsid w:val="2DAF78FF"/>
    <w:rsid w:val="2DD93F77"/>
    <w:rsid w:val="2DDE7A41"/>
    <w:rsid w:val="2DEF20F0"/>
    <w:rsid w:val="2E041306"/>
    <w:rsid w:val="2E106E4C"/>
    <w:rsid w:val="2E147ABB"/>
    <w:rsid w:val="2E4C211D"/>
    <w:rsid w:val="2E4D7F49"/>
    <w:rsid w:val="2E4E05E7"/>
    <w:rsid w:val="2E4E1129"/>
    <w:rsid w:val="2E5B5EA2"/>
    <w:rsid w:val="2E6446EB"/>
    <w:rsid w:val="2E7F0E61"/>
    <w:rsid w:val="2E7F686F"/>
    <w:rsid w:val="2E870765"/>
    <w:rsid w:val="2E8D0791"/>
    <w:rsid w:val="2E9B39A1"/>
    <w:rsid w:val="2EA3792E"/>
    <w:rsid w:val="2F047EE8"/>
    <w:rsid w:val="2F085C75"/>
    <w:rsid w:val="2F2B12A9"/>
    <w:rsid w:val="2F626907"/>
    <w:rsid w:val="2F956224"/>
    <w:rsid w:val="2FA23A7C"/>
    <w:rsid w:val="2FA30525"/>
    <w:rsid w:val="2FB449B9"/>
    <w:rsid w:val="2FC73BC7"/>
    <w:rsid w:val="2FD33F66"/>
    <w:rsid w:val="2FD408E0"/>
    <w:rsid w:val="2FE311E4"/>
    <w:rsid w:val="2FF608DC"/>
    <w:rsid w:val="2FFD3FAC"/>
    <w:rsid w:val="3004586C"/>
    <w:rsid w:val="30160ACC"/>
    <w:rsid w:val="301F4553"/>
    <w:rsid w:val="3045081F"/>
    <w:rsid w:val="305A720F"/>
    <w:rsid w:val="306825DD"/>
    <w:rsid w:val="30834BF9"/>
    <w:rsid w:val="30944718"/>
    <w:rsid w:val="30C01078"/>
    <w:rsid w:val="30CF0FD9"/>
    <w:rsid w:val="30F34FAE"/>
    <w:rsid w:val="31013C75"/>
    <w:rsid w:val="3133127A"/>
    <w:rsid w:val="31353CD7"/>
    <w:rsid w:val="313E620E"/>
    <w:rsid w:val="313E6CDE"/>
    <w:rsid w:val="31727F68"/>
    <w:rsid w:val="317662E9"/>
    <w:rsid w:val="31954796"/>
    <w:rsid w:val="31962DAE"/>
    <w:rsid w:val="319F0073"/>
    <w:rsid w:val="31B9498A"/>
    <w:rsid w:val="32036D1A"/>
    <w:rsid w:val="32044DED"/>
    <w:rsid w:val="320C562E"/>
    <w:rsid w:val="324B22D2"/>
    <w:rsid w:val="32575E9A"/>
    <w:rsid w:val="325C3AF5"/>
    <w:rsid w:val="327A0FE8"/>
    <w:rsid w:val="32980E11"/>
    <w:rsid w:val="329F684F"/>
    <w:rsid w:val="32B26B6D"/>
    <w:rsid w:val="32C92CF9"/>
    <w:rsid w:val="32F96ACA"/>
    <w:rsid w:val="330258B3"/>
    <w:rsid w:val="33054642"/>
    <w:rsid w:val="33106E3B"/>
    <w:rsid w:val="333E4968"/>
    <w:rsid w:val="337E28B4"/>
    <w:rsid w:val="33951969"/>
    <w:rsid w:val="339B5E01"/>
    <w:rsid w:val="33A31D7A"/>
    <w:rsid w:val="33B36A61"/>
    <w:rsid w:val="33D163EF"/>
    <w:rsid w:val="33D45DFD"/>
    <w:rsid w:val="33E605A3"/>
    <w:rsid w:val="33E706E6"/>
    <w:rsid w:val="33F14703"/>
    <w:rsid w:val="33F7797D"/>
    <w:rsid w:val="3406027F"/>
    <w:rsid w:val="345B2367"/>
    <w:rsid w:val="348B5095"/>
    <w:rsid w:val="349C31F7"/>
    <w:rsid w:val="34A54544"/>
    <w:rsid w:val="34AE0539"/>
    <w:rsid w:val="34CD5068"/>
    <w:rsid w:val="34CE2B5B"/>
    <w:rsid w:val="34E944F6"/>
    <w:rsid w:val="34E94AA0"/>
    <w:rsid w:val="35072EAD"/>
    <w:rsid w:val="350960B1"/>
    <w:rsid w:val="35150114"/>
    <w:rsid w:val="35217336"/>
    <w:rsid w:val="35290A77"/>
    <w:rsid w:val="352A0B4B"/>
    <w:rsid w:val="35356F10"/>
    <w:rsid w:val="354840CB"/>
    <w:rsid w:val="355C013C"/>
    <w:rsid w:val="3565420B"/>
    <w:rsid w:val="356A601B"/>
    <w:rsid w:val="3583595D"/>
    <w:rsid w:val="35841013"/>
    <w:rsid w:val="358B79C9"/>
    <w:rsid w:val="35946F77"/>
    <w:rsid w:val="359A00B9"/>
    <w:rsid w:val="35F853BB"/>
    <w:rsid w:val="35FB1676"/>
    <w:rsid w:val="3613575A"/>
    <w:rsid w:val="361526DE"/>
    <w:rsid w:val="36225127"/>
    <w:rsid w:val="36237E20"/>
    <w:rsid w:val="36286678"/>
    <w:rsid w:val="363803C7"/>
    <w:rsid w:val="367620D2"/>
    <w:rsid w:val="3689139F"/>
    <w:rsid w:val="369608CE"/>
    <w:rsid w:val="369B2954"/>
    <w:rsid w:val="36A46375"/>
    <w:rsid w:val="36C1037B"/>
    <w:rsid w:val="36D067A6"/>
    <w:rsid w:val="37070D11"/>
    <w:rsid w:val="37201F64"/>
    <w:rsid w:val="373553B6"/>
    <w:rsid w:val="373F53DD"/>
    <w:rsid w:val="375948AC"/>
    <w:rsid w:val="376B28D6"/>
    <w:rsid w:val="376C5D00"/>
    <w:rsid w:val="376E276D"/>
    <w:rsid w:val="37A04E93"/>
    <w:rsid w:val="37EA0A17"/>
    <w:rsid w:val="380A7603"/>
    <w:rsid w:val="380B0BB2"/>
    <w:rsid w:val="380D32F1"/>
    <w:rsid w:val="380D5D0D"/>
    <w:rsid w:val="382F2C1E"/>
    <w:rsid w:val="386E3E21"/>
    <w:rsid w:val="38716CD9"/>
    <w:rsid w:val="38801C6C"/>
    <w:rsid w:val="38851608"/>
    <w:rsid w:val="38A45712"/>
    <w:rsid w:val="38A47DD9"/>
    <w:rsid w:val="38A95585"/>
    <w:rsid w:val="38B04451"/>
    <w:rsid w:val="38CC35B4"/>
    <w:rsid w:val="38D10166"/>
    <w:rsid w:val="38F86F1D"/>
    <w:rsid w:val="39207FD2"/>
    <w:rsid w:val="3933207C"/>
    <w:rsid w:val="394B37F2"/>
    <w:rsid w:val="39532C2F"/>
    <w:rsid w:val="396430B4"/>
    <w:rsid w:val="39985F30"/>
    <w:rsid w:val="39D3500A"/>
    <w:rsid w:val="39D96419"/>
    <w:rsid w:val="39E55169"/>
    <w:rsid w:val="39E84553"/>
    <w:rsid w:val="39F4018B"/>
    <w:rsid w:val="39F72E22"/>
    <w:rsid w:val="3A00289B"/>
    <w:rsid w:val="3A094E52"/>
    <w:rsid w:val="3A174971"/>
    <w:rsid w:val="3A1F37E7"/>
    <w:rsid w:val="3A273045"/>
    <w:rsid w:val="3A3E4729"/>
    <w:rsid w:val="3A675D63"/>
    <w:rsid w:val="3A912821"/>
    <w:rsid w:val="3A9F7948"/>
    <w:rsid w:val="3AA02CE4"/>
    <w:rsid w:val="3AA628ED"/>
    <w:rsid w:val="3AAC6356"/>
    <w:rsid w:val="3AB23C38"/>
    <w:rsid w:val="3ABA4B72"/>
    <w:rsid w:val="3AC76FD5"/>
    <w:rsid w:val="3ACE1617"/>
    <w:rsid w:val="3AD31906"/>
    <w:rsid w:val="3AD969F8"/>
    <w:rsid w:val="3AFD1BC4"/>
    <w:rsid w:val="3B4C622A"/>
    <w:rsid w:val="3B7F36AC"/>
    <w:rsid w:val="3B822235"/>
    <w:rsid w:val="3B861D2E"/>
    <w:rsid w:val="3BA3147C"/>
    <w:rsid w:val="3BC25680"/>
    <w:rsid w:val="3BD653F5"/>
    <w:rsid w:val="3BE16ECF"/>
    <w:rsid w:val="3BF43778"/>
    <w:rsid w:val="3C211965"/>
    <w:rsid w:val="3C4B0ED5"/>
    <w:rsid w:val="3CA91418"/>
    <w:rsid w:val="3CBC1B56"/>
    <w:rsid w:val="3CBD75BF"/>
    <w:rsid w:val="3CC33BCC"/>
    <w:rsid w:val="3CD641A1"/>
    <w:rsid w:val="3CE2490A"/>
    <w:rsid w:val="3CE56FEF"/>
    <w:rsid w:val="3CEA648A"/>
    <w:rsid w:val="3D1502D9"/>
    <w:rsid w:val="3D555673"/>
    <w:rsid w:val="3D5657CC"/>
    <w:rsid w:val="3D5D2E26"/>
    <w:rsid w:val="3D876DDA"/>
    <w:rsid w:val="3D8E5ECA"/>
    <w:rsid w:val="3D965098"/>
    <w:rsid w:val="3DB21166"/>
    <w:rsid w:val="3DB52FFB"/>
    <w:rsid w:val="3DB932B8"/>
    <w:rsid w:val="3DDF3C84"/>
    <w:rsid w:val="3DF55B8D"/>
    <w:rsid w:val="3DF740D2"/>
    <w:rsid w:val="3E2942BE"/>
    <w:rsid w:val="3E300439"/>
    <w:rsid w:val="3E320B89"/>
    <w:rsid w:val="3E3906BC"/>
    <w:rsid w:val="3E5648B2"/>
    <w:rsid w:val="3E684241"/>
    <w:rsid w:val="3E75521D"/>
    <w:rsid w:val="3E83245B"/>
    <w:rsid w:val="3E8412E9"/>
    <w:rsid w:val="3E9328AF"/>
    <w:rsid w:val="3EA87EB5"/>
    <w:rsid w:val="3EBC27E6"/>
    <w:rsid w:val="3EDC10D0"/>
    <w:rsid w:val="3EE10368"/>
    <w:rsid w:val="3EF13BC7"/>
    <w:rsid w:val="3EF53D00"/>
    <w:rsid w:val="3F0C4369"/>
    <w:rsid w:val="3F1717B3"/>
    <w:rsid w:val="3F2F53AA"/>
    <w:rsid w:val="3F5D2E4D"/>
    <w:rsid w:val="3F5F1F5C"/>
    <w:rsid w:val="3F6A5EE0"/>
    <w:rsid w:val="3F8A14CB"/>
    <w:rsid w:val="3F9E0865"/>
    <w:rsid w:val="3FA5009E"/>
    <w:rsid w:val="3FCE2739"/>
    <w:rsid w:val="3FD50D82"/>
    <w:rsid w:val="3FDB1475"/>
    <w:rsid w:val="3FDE5AD9"/>
    <w:rsid w:val="3FE56AF2"/>
    <w:rsid w:val="40016842"/>
    <w:rsid w:val="401C7BD5"/>
    <w:rsid w:val="401D5D3B"/>
    <w:rsid w:val="402417C8"/>
    <w:rsid w:val="40372073"/>
    <w:rsid w:val="404F52A8"/>
    <w:rsid w:val="40B6211F"/>
    <w:rsid w:val="40C2573C"/>
    <w:rsid w:val="40D34024"/>
    <w:rsid w:val="40D43BA0"/>
    <w:rsid w:val="40E241CE"/>
    <w:rsid w:val="40EA78D7"/>
    <w:rsid w:val="412912D7"/>
    <w:rsid w:val="41366B89"/>
    <w:rsid w:val="41643D6B"/>
    <w:rsid w:val="41771599"/>
    <w:rsid w:val="41A04E11"/>
    <w:rsid w:val="41DB0F0D"/>
    <w:rsid w:val="420558C2"/>
    <w:rsid w:val="42057B28"/>
    <w:rsid w:val="421052B2"/>
    <w:rsid w:val="42190CC2"/>
    <w:rsid w:val="422F36E3"/>
    <w:rsid w:val="42326410"/>
    <w:rsid w:val="42407C97"/>
    <w:rsid w:val="42491125"/>
    <w:rsid w:val="427A44C2"/>
    <w:rsid w:val="427D2022"/>
    <w:rsid w:val="42880654"/>
    <w:rsid w:val="428C475C"/>
    <w:rsid w:val="428D14EF"/>
    <w:rsid w:val="4296187E"/>
    <w:rsid w:val="42A65AF0"/>
    <w:rsid w:val="42AD56C6"/>
    <w:rsid w:val="42FF71DC"/>
    <w:rsid w:val="42FF7548"/>
    <w:rsid w:val="430E1911"/>
    <w:rsid w:val="432B1FC3"/>
    <w:rsid w:val="434D155D"/>
    <w:rsid w:val="435E53D9"/>
    <w:rsid w:val="437A0D2C"/>
    <w:rsid w:val="438607EE"/>
    <w:rsid w:val="43911F91"/>
    <w:rsid w:val="4394491A"/>
    <w:rsid w:val="43997A97"/>
    <w:rsid w:val="43A21908"/>
    <w:rsid w:val="43BD5DE5"/>
    <w:rsid w:val="43D65E39"/>
    <w:rsid w:val="43D6606E"/>
    <w:rsid w:val="43FE3B45"/>
    <w:rsid w:val="441111D7"/>
    <w:rsid w:val="442951C6"/>
    <w:rsid w:val="444C64B0"/>
    <w:rsid w:val="444D54BA"/>
    <w:rsid w:val="445F4C2D"/>
    <w:rsid w:val="44742FDB"/>
    <w:rsid w:val="449D508C"/>
    <w:rsid w:val="44B15AF7"/>
    <w:rsid w:val="44B36E39"/>
    <w:rsid w:val="44EC7013"/>
    <w:rsid w:val="44F02519"/>
    <w:rsid w:val="44FB3AE3"/>
    <w:rsid w:val="44FF3C64"/>
    <w:rsid w:val="45061393"/>
    <w:rsid w:val="45427AA4"/>
    <w:rsid w:val="45485D39"/>
    <w:rsid w:val="45515DC5"/>
    <w:rsid w:val="455454A2"/>
    <w:rsid w:val="45564CA5"/>
    <w:rsid w:val="455B6233"/>
    <w:rsid w:val="456A6A48"/>
    <w:rsid w:val="457C3D14"/>
    <w:rsid w:val="45865E2C"/>
    <w:rsid w:val="45911A43"/>
    <w:rsid w:val="45A16423"/>
    <w:rsid w:val="45A24E61"/>
    <w:rsid w:val="45B457B5"/>
    <w:rsid w:val="45DE2657"/>
    <w:rsid w:val="45F10EC5"/>
    <w:rsid w:val="460F4303"/>
    <w:rsid w:val="462E7E70"/>
    <w:rsid w:val="463144E8"/>
    <w:rsid w:val="466317E7"/>
    <w:rsid w:val="466A23AB"/>
    <w:rsid w:val="466E3CCD"/>
    <w:rsid w:val="4676381B"/>
    <w:rsid w:val="467744FD"/>
    <w:rsid w:val="46A746F1"/>
    <w:rsid w:val="46A9603F"/>
    <w:rsid w:val="46AF30F0"/>
    <w:rsid w:val="46BC0247"/>
    <w:rsid w:val="46D046FE"/>
    <w:rsid w:val="46E12276"/>
    <w:rsid w:val="46F03580"/>
    <w:rsid w:val="46F51A7F"/>
    <w:rsid w:val="47140188"/>
    <w:rsid w:val="4714637D"/>
    <w:rsid w:val="47280D0D"/>
    <w:rsid w:val="476063A8"/>
    <w:rsid w:val="476B7898"/>
    <w:rsid w:val="47700B34"/>
    <w:rsid w:val="477A6B40"/>
    <w:rsid w:val="47B32E9C"/>
    <w:rsid w:val="480B19F6"/>
    <w:rsid w:val="48212AE9"/>
    <w:rsid w:val="486C4CE7"/>
    <w:rsid w:val="489713C3"/>
    <w:rsid w:val="489A427C"/>
    <w:rsid w:val="48A262B1"/>
    <w:rsid w:val="48A61EC2"/>
    <w:rsid w:val="48BA3284"/>
    <w:rsid w:val="48C269A2"/>
    <w:rsid w:val="48CB1CC0"/>
    <w:rsid w:val="49013C23"/>
    <w:rsid w:val="490A52ED"/>
    <w:rsid w:val="49163580"/>
    <w:rsid w:val="491E6E1E"/>
    <w:rsid w:val="491F7F64"/>
    <w:rsid w:val="492A1BD4"/>
    <w:rsid w:val="49316623"/>
    <w:rsid w:val="49582843"/>
    <w:rsid w:val="49733467"/>
    <w:rsid w:val="49942AC5"/>
    <w:rsid w:val="49A418F2"/>
    <w:rsid w:val="49C8100A"/>
    <w:rsid w:val="49FF2037"/>
    <w:rsid w:val="4A0A7F62"/>
    <w:rsid w:val="4A1D00AC"/>
    <w:rsid w:val="4A270A04"/>
    <w:rsid w:val="4A414188"/>
    <w:rsid w:val="4A47591B"/>
    <w:rsid w:val="4A4C4C82"/>
    <w:rsid w:val="4A6F608D"/>
    <w:rsid w:val="4A885CE1"/>
    <w:rsid w:val="4A9452E5"/>
    <w:rsid w:val="4A9F2D3A"/>
    <w:rsid w:val="4ABE4F66"/>
    <w:rsid w:val="4ABF0894"/>
    <w:rsid w:val="4ADB4E28"/>
    <w:rsid w:val="4AF16114"/>
    <w:rsid w:val="4AF75899"/>
    <w:rsid w:val="4B170E1E"/>
    <w:rsid w:val="4B1A46C6"/>
    <w:rsid w:val="4B2517BD"/>
    <w:rsid w:val="4B333D7A"/>
    <w:rsid w:val="4B3422A0"/>
    <w:rsid w:val="4B492A9E"/>
    <w:rsid w:val="4B4D3A8C"/>
    <w:rsid w:val="4B5523AC"/>
    <w:rsid w:val="4BB31E0A"/>
    <w:rsid w:val="4BC74E08"/>
    <w:rsid w:val="4BD07997"/>
    <w:rsid w:val="4BDF3E16"/>
    <w:rsid w:val="4C1003D8"/>
    <w:rsid w:val="4C352DA8"/>
    <w:rsid w:val="4C366477"/>
    <w:rsid w:val="4C6F66E5"/>
    <w:rsid w:val="4C786851"/>
    <w:rsid w:val="4C942881"/>
    <w:rsid w:val="4CAF266F"/>
    <w:rsid w:val="4CC13ECD"/>
    <w:rsid w:val="4CD020F9"/>
    <w:rsid w:val="4D0B17EF"/>
    <w:rsid w:val="4D0E4802"/>
    <w:rsid w:val="4D2F7723"/>
    <w:rsid w:val="4D406BD1"/>
    <w:rsid w:val="4D4D3FF4"/>
    <w:rsid w:val="4D5047B5"/>
    <w:rsid w:val="4D605A45"/>
    <w:rsid w:val="4D76573F"/>
    <w:rsid w:val="4D831E51"/>
    <w:rsid w:val="4DA44E4F"/>
    <w:rsid w:val="4DCE74AD"/>
    <w:rsid w:val="4DF521AC"/>
    <w:rsid w:val="4E0A2800"/>
    <w:rsid w:val="4E0D58C8"/>
    <w:rsid w:val="4E5079C5"/>
    <w:rsid w:val="4E623BD3"/>
    <w:rsid w:val="4E7906E7"/>
    <w:rsid w:val="4E837C45"/>
    <w:rsid w:val="4E960E86"/>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45D86"/>
    <w:rsid w:val="4F9B372A"/>
    <w:rsid w:val="4F9C1F5E"/>
    <w:rsid w:val="4FA14EEC"/>
    <w:rsid w:val="4FA84227"/>
    <w:rsid w:val="4FC231DA"/>
    <w:rsid w:val="4FE223EE"/>
    <w:rsid w:val="4FE3097A"/>
    <w:rsid w:val="4FFD3A15"/>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86AE9"/>
    <w:rsid w:val="516C5BB7"/>
    <w:rsid w:val="5177503D"/>
    <w:rsid w:val="51881606"/>
    <w:rsid w:val="518E2820"/>
    <w:rsid w:val="51AC5137"/>
    <w:rsid w:val="51B463DB"/>
    <w:rsid w:val="51BC0A48"/>
    <w:rsid w:val="51C31254"/>
    <w:rsid w:val="51C979DD"/>
    <w:rsid w:val="520A22AE"/>
    <w:rsid w:val="52247A0F"/>
    <w:rsid w:val="52336200"/>
    <w:rsid w:val="52385792"/>
    <w:rsid w:val="523D42DD"/>
    <w:rsid w:val="523F6AFF"/>
    <w:rsid w:val="524F31BF"/>
    <w:rsid w:val="52514A0D"/>
    <w:rsid w:val="526850F9"/>
    <w:rsid w:val="5273265C"/>
    <w:rsid w:val="52853336"/>
    <w:rsid w:val="52881D50"/>
    <w:rsid w:val="52991222"/>
    <w:rsid w:val="529B3EC4"/>
    <w:rsid w:val="529C7876"/>
    <w:rsid w:val="52DB19FD"/>
    <w:rsid w:val="52EE339D"/>
    <w:rsid w:val="5306292A"/>
    <w:rsid w:val="530822C8"/>
    <w:rsid w:val="533E1E81"/>
    <w:rsid w:val="535A53CF"/>
    <w:rsid w:val="536F3F83"/>
    <w:rsid w:val="53703E8D"/>
    <w:rsid w:val="53707DDE"/>
    <w:rsid w:val="537E0058"/>
    <w:rsid w:val="53950AA6"/>
    <w:rsid w:val="53C502CE"/>
    <w:rsid w:val="53D02F55"/>
    <w:rsid w:val="53E12D9E"/>
    <w:rsid w:val="53E64B1C"/>
    <w:rsid w:val="53E8652B"/>
    <w:rsid w:val="53EB486A"/>
    <w:rsid w:val="53EE67E9"/>
    <w:rsid w:val="53FD1C03"/>
    <w:rsid w:val="54020BC2"/>
    <w:rsid w:val="540310FA"/>
    <w:rsid w:val="54037045"/>
    <w:rsid w:val="540817F6"/>
    <w:rsid w:val="54147E55"/>
    <w:rsid w:val="54270E2A"/>
    <w:rsid w:val="543E515D"/>
    <w:rsid w:val="543F413B"/>
    <w:rsid w:val="544B0D54"/>
    <w:rsid w:val="54591CDE"/>
    <w:rsid w:val="54625354"/>
    <w:rsid w:val="546C68C3"/>
    <w:rsid w:val="54984A43"/>
    <w:rsid w:val="54C54621"/>
    <w:rsid w:val="54C557E7"/>
    <w:rsid w:val="54C65EC0"/>
    <w:rsid w:val="54D43100"/>
    <w:rsid w:val="552760F6"/>
    <w:rsid w:val="552A09F4"/>
    <w:rsid w:val="5532296D"/>
    <w:rsid w:val="555154EE"/>
    <w:rsid w:val="558F4A1E"/>
    <w:rsid w:val="55942252"/>
    <w:rsid w:val="55987FBD"/>
    <w:rsid w:val="55B41C64"/>
    <w:rsid w:val="55EC2897"/>
    <w:rsid w:val="55FA242D"/>
    <w:rsid w:val="5630640C"/>
    <w:rsid w:val="5652511E"/>
    <w:rsid w:val="56543A0D"/>
    <w:rsid w:val="566B50BC"/>
    <w:rsid w:val="569E1AC8"/>
    <w:rsid w:val="56A4132F"/>
    <w:rsid w:val="56AC279F"/>
    <w:rsid w:val="56AF2E6F"/>
    <w:rsid w:val="56DF0963"/>
    <w:rsid w:val="56E2575C"/>
    <w:rsid w:val="56F37D3E"/>
    <w:rsid w:val="56F473C0"/>
    <w:rsid w:val="56FD3D8C"/>
    <w:rsid w:val="57065F83"/>
    <w:rsid w:val="57097BE4"/>
    <w:rsid w:val="570B6550"/>
    <w:rsid w:val="57196157"/>
    <w:rsid w:val="57484C26"/>
    <w:rsid w:val="5758628A"/>
    <w:rsid w:val="57745BB6"/>
    <w:rsid w:val="57855787"/>
    <w:rsid w:val="578A1BF3"/>
    <w:rsid w:val="57B02739"/>
    <w:rsid w:val="57BD6C04"/>
    <w:rsid w:val="57C51573"/>
    <w:rsid w:val="57D6036B"/>
    <w:rsid w:val="57DE28CC"/>
    <w:rsid w:val="57FE263B"/>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90D2328"/>
    <w:rsid w:val="590F51DD"/>
    <w:rsid w:val="59232C0B"/>
    <w:rsid w:val="593A62F9"/>
    <w:rsid w:val="594D06B7"/>
    <w:rsid w:val="59634023"/>
    <w:rsid w:val="598D03EC"/>
    <w:rsid w:val="598D7696"/>
    <w:rsid w:val="599C0038"/>
    <w:rsid w:val="59C43D4D"/>
    <w:rsid w:val="59C83A39"/>
    <w:rsid w:val="59FB18DA"/>
    <w:rsid w:val="5A261DCD"/>
    <w:rsid w:val="5A361544"/>
    <w:rsid w:val="5A3F108A"/>
    <w:rsid w:val="5A5B363C"/>
    <w:rsid w:val="5A6D76C0"/>
    <w:rsid w:val="5A723A0D"/>
    <w:rsid w:val="5A762255"/>
    <w:rsid w:val="5A833B0D"/>
    <w:rsid w:val="5A9D621A"/>
    <w:rsid w:val="5AB17106"/>
    <w:rsid w:val="5AC219D6"/>
    <w:rsid w:val="5ACF40CD"/>
    <w:rsid w:val="5ADB2BC0"/>
    <w:rsid w:val="5AFD3B96"/>
    <w:rsid w:val="5B0C640C"/>
    <w:rsid w:val="5B2D305D"/>
    <w:rsid w:val="5B316CA1"/>
    <w:rsid w:val="5B443E9C"/>
    <w:rsid w:val="5B707739"/>
    <w:rsid w:val="5B956906"/>
    <w:rsid w:val="5BCE4EA4"/>
    <w:rsid w:val="5BD209C4"/>
    <w:rsid w:val="5BD637EC"/>
    <w:rsid w:val="5BDE5A43"/>
    <w:rsid w:val="5BE0323A"/>
    <w:rsid w:val="5C1B7F5F"/>
    <w:rsid w:val="5C34166A"/>
    <w:rsid w:val="5C4A36B7"/>
    <w:rsid w:val="5C4E44D4"/>
    <w:rsid w:val="5C5552A6"/>
    <w:rsid w:val="5CD7479C"/>
    <w:rsid w:val="5CE536CF"/>
    <w:rsid w:val="5CE568F8"/>
    <w:rsid w:val="5CF3293E"/>
    <w:rsid w:val="5CF33064"/>
    <w:rsid w:val="5D0576C4"/>
    <w:rsid w:val="5D230368"/>
    <w:rsid w:val="5D255730"/>
    <w:rsid w:val="5D443390"/>
    <w:rsid w:val="5D5667E0"/>
    <w:rsid w:val="5D580881"/>
    <w:rsid w:val="5D6261CB"/>
    <w:rsid w:val="5D824F20"/>
    <w:rsid w:val="5DA13534"/>
    <w:rsid w:val="5DB37248"/>
    <w:rsid w:val="5DCB56EC"/>
    <w:rsid w:val="5DDE341F"/>
    <w:rsid w:val="5DE448D2"/>
    <w:rsid w:val="5DF441FF"/>
    <w:rsid w:val="5DF70C36"/>
    <w:rsid w:val="5E1463C6"/>
    <w:rsid w:val="5E285722"/>
    <w:rsid w:val="5E3B4D31"/>
    <w:rsid w:val="5E3E65D1"/>
    <w:rsid w:val="5E4B7A1D"/>
    <w:rsid w:val="5E50050F"/>
    <w:rsid w:val="5E5D04EF"/>
    <w:rsid w:val="5E68591D"/>
    <w:rsid w:val="5E731D18"/>
    <w:rsid w:val="5E742249"/>
    <w:rsid w:val="5E9E597C"/>
    <w:rsid w:val="5EA97C8F"/>
    <w:rsid w:val="5F0936DE"/>
    <w:rsid w:val="5F171517"/>
    <w:rsid w:val="5F62295E"/>
    <w:rsid w:val="5F682786"/>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9940E6"/>
    <w:rsid w:val="61A6014E"/>
    <w:rsid w:val="61D07BAF"/>
    <w:rsid w:val="61D63921"/>
    <w:rsid w:val="61DB724C"/>
    <w:rsid w:val="61F439C5"/>
    <w:rsid w:val="61F443E9"/>
    <w:rsid w:val="62213533"/>
    <w:rsid w:val="62270D05"/>
    <w:rsid w:val="62461BF2"/>
    <w:rsid w:val="62607426"/>
    <w:rsid w:val="62867444"/>
    <w:rsid w:val="629D7EE8"/>
    <w:rsid w:val="62C73A65"/>
    <w:rsid w:val="62D50998"/>
    <w:rsid w:val="62E0167C"/>
    <w:rsid w:val="62E7507D"/>
    <w:rsid w:val="62F67597"/>
    <w:rsid w:val="630C34D0"/>
    <w:rsid w:val="631E48B7"/>
    <w:rsid w:val="6322080B"/>
    <w:rsid w:val="635F6BBD"/>
    <w:rsid w:val="63821F51"/>
    <w:rsid w:val="638F7AFC"/>
    <w:rsid w:val="639215D8"/>
    <w:rsid w:val="63A36BE5"/>
    <w:rsid w:val="63B96071"/>
    <w:rsid w:val="63C04B8A"/>
    <w:rsid w:val="63D42229"/>
    <w:rsid w:val="63D8474D"/>
    <w:rsid w:val="63DB746A"/>
    <w:rsid w:val="63E5033D"/>
    <w:rsid w:val="63EE162B"/>
    <w:rsid w:val="63F75B8A"/>
    <w:rsid w:val="640310C7"/>
    <w:rsid w:val="64155C8D"/>
    <w:rsid w:val="641B0760"/>
    <w:rsid w:val="641E1DE4"/>
    <w:rsid w:val="64203CB4"/>
    <w:rsid w:val="64222857"/>
    <w:rsid w:val="64335EB1"/>
    <w:rsid w:val="64433CD0"/>
    <w:rsid w:val="64495F72"/>
    <w:rsid w:val="644B25BC"/>
    <w:rsid w:val="647F6D16"/>
    <w:rsid w:val="6498217B"/>
    <w:rsid w:val="64987FF4"/>
    <w:rsid w:val="64D0513C"/>
    <w:rsid w:val="64EB1866"/>
    <w:rsid w:val="64F702F2"/>
    <w:rsid w:val="651424EE"/>
    <w:rsid w:val="65257BC1"/>
    <w:rsid w:val="65287A29"/>
    <w:rsid w:val="65537EF9"/>
    <w:rsid w:val="655E1155"/>
    <w:rsid w:val="655F4773"/>
    <w:rsid w:val="65636455"/>
    <w:rsid w:val="65A240BE"/>
    <w:rsid w:val="65A273A9"/>
    <w:rsid w:val="65AE5114"/>
    <w:rsid w:val="65B61DD9"/>
    <w:rsid w:val="65BB5075"/>
    <w:rsid w:val="65C76D0B"/>
    <w:rsid w:val="65CB5A52"/>
    <w:rsid w:val="65D23BC4"/>
    <w:rsid w:val="662861DC"/>
    <w:rsid w:val="66286B79"/>
    <w:rsid w:val="66306F43"/>
    <w:rsid w:val="66326E97"/>
    <w:rsid w:val="663F4723"/>
    <w:rsid w:val="664615E7"/>
    <w:rsid w:val="665265F4"/>
    <w:rsid w:val="667F1FA3"/>
    <w:rsid w:val="66943E18"/>
    <w:rsid w:val="6699652A"/>
    <w:rsid w:val="66A93110"/>
    <w:rsid w:val="66AC664F"/>
    <w:rsid w:val="66AF2B2C"/>
    <w:rsid w:val="66F0190D"/>
    <w:rsid w:val="67064E16"/>
    <w:rsid w:val="672833FF"/>
    <w:rsid w:val="67447CAA"/>
    <w:rsid w:val="67603184"/>
    <w:rsid w:val="676569B0"/>
    <w:rsid w:val="676E53AF"/>
    <w:rsid w:val="6772565E"/>
    <w:rsid w:val="679C72E6"/>
    <w:rsid w:val="679D7D9D"/>
    <w:rsid w:val="67A16316"/>
    <w:rsid w:val="67B52945"/>
    <w:rsid w:val="67B84A87"/>
    <w:rsid w:val="67D5396B"/>
    <w:rsid w:val="67E24A58"/>
    <w:rsid w:val="67E967D4"/>
    <w:rsid w:val="67EA1DE2"/>
    <w:rsid w:val="67F51F5D"/>
    <w:rsid w:val="681C0F9C"/>
    <w:rsid w:val="68280A59"/>
    <w:rsid w:val="683A638D"/>
    <w:rsid w:val="684859DE"/>
    <w:rsid w:val="684E06B6"/>
    <w:rsid w:val="685448E5"/>
    <w:rsid w:val="68567ADB"/>
    <w:rsid w:val="685A52F7"/>
    <w:rsid w:val="686301D2"/>
    <w:rsid w:val="686F32ED"/>
    <w:rsid w:val="68763CFB"/>
    <w:rsid w:val="68775B46"/>
    <w:rsid w:val="68AB1911"/>
    <w:rsid w:val="68AC7864"/>
    <w:rsid w:val="68BD141F"/>
    <w:rsid w:val="68C2312F"/>
    <w:rsid w:val="68CC74D0"/>
    <w:rsid w:val="68DD058C"/>
    <w:rsid w:val="68E84B74"/>
    <w:rsid w:val="690300E6"/>
    <w:rsid w:val="691F004A"/>
    <w:rsid w:val="692563EE"/>
    <w:rsid w:val="692D6BB4"/>
    <w:rsid w:val="69456602"/>
    <w:rsid w:val="6965727E"/>
    <w:rsid w:val="69785369"/>
    <w:rsid w:val="69AA114D"/>
    <w:rsid w:val="69C62E9A"/>
    <w:rsid w:val="69D9569F"/>
    <w:rsid w:val="69F076EC"/>
    <w:rsid w:val="6A0C4C59"/>
    <w:rsid w:val="6A0C7811"/>
    <w:rsid w:val="6A0E77F1"/>
    <w:rsid w:val="6A3001E9"/>
    <w:rsid w:val="6A4C28F4"/>
    <w:rsid w:val="6A55161C"/>
    <w:rsid w:val="6A65568E"/>
    <w:rsid w:val="6A6E2AA9"/>
    <w:rsid w:val="6A8213EE"/>
    <w:rsid w:val="6A9553FE"/>
    <w:rsid w:val="6AC30E38"/>
    <w:rsid w:val="6ADB66AC"/>
    <w:rsid w:val="6ADD74FD"/>
    <w:rsid w:val="6B3816B9"/>
    <w:rsid w:val="6B570F9E"/>
    <w:rsid w:val="6B704D44"/>
    <w:rsid w:val="6B7A4A17"/>
    <w:rsid w:val="6B7F1BF6"/>
    <w:rsid w:val="6B9512FD"/>
    <w:rsid w:val="6BAF473A"/>
    <w:rsid w:val="6BB554FE"/>
    <w:rsid w:val="6BB87BB7"/>
    <w:rsid w:val="6BC12EDC"/>
    <w:rsid w:val="6BE255D8"/>
    <w:rsid w:val="6BE76A97"/>
    <w:rsid w:val="6BF056A3"/>
    <w:rsid w:val="6BF43FAF"/>
    <w:rsid w:val="6BFB78C8"/>
    <w:rsid w:val="6C1363EA"/>
    <w:rsid w:val="6C1F175D"/>
    <w:rsid w:val="6C3E480C"/>
    <w:rsid w:val="6C434A1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F437E"/>
    <w:rsid w:val="6D990245"/>
    <w:rsid w:val="6D997573"/>
    <w:rsid w:val="6DA026C8"/>
    <w:rsid w:val="6DB46943"/>
    <w:rsid w:val="6DC62455"/>
    <w:rsid w:val="6E035FBA"/>
    <w:rsid w:val="6E123F60"/>
    <w:rsid w:val="6E5231A4"/>
    <w:rsid w:val="6E542764"/>
    <w:rsid w:val="6E5A40EE"/>
    <w:rsid w:val="6E671D27"/>
    <w:rsid w:val="6E7D48F4"/>
    <w:rsid w:val="6E9C16AF"/>
    <w:rsid w:val="6E9D390D"/>
    <w:rsid w:val="6EB70E9E"/>
    <w:rsid w:val="6EE10B05"/>
    <w:rsid w:val="6EE14446"/>
    <w:rsid w:val="6F0472BB"/>
    <w:rsid w:val="6F206808"/>
    <w:rsid w:val="6F537CC8"/>
    <w:rsid w:val="6F5B3B07"/>
    <w:rsid w:val="6F6000F3"/>
    <w:rsid w:val="6F7A7501"/>
    <w:rsid w:val="6F844D54"/>
    <w:rsid w:val="6FAB7D95"/>
    <w:rsid w:val="6FAD23B4"/>
    <w:rsid w:val="6FAD5E72"/>
    <w:rsid w:val="6FBB1BF5"/>
    <w:rsid w:val="6FBD7D61"/>
    <w:rsid w:val="6FC42EAB"/>
    <w:rsid w:val="6FCE7B7A"/>
    <w:rsid w:val="6FD101F3"/>
    <w:rsid w:val="6FDA77D8"/>
    <w:rsid w:val="6FE54985"/>
    <w:rsid w:val="6FEC7554"/>
    <w:rsid w:val="6FF1283A"/>
    <w:rsid w:val="70372071"/>
    <w:rsid w:val="70537980"/>
    <w:rsid w:val="70563262"/>
    <w:rsid w:val="705873A3"/>
    <w:rsid w:val="709910D5"/>
    <w:rsid w:val="70D216D3"/>
    <w:rsid w:val="71534AAE"/>
    <w:rsid w:val="716C54B9"/>
    <w:rsid w:val="717C638C"/>
    <w:rsid w:val="719B216D"/>
    <w:rsid w:val="71B752EE"/>
    <w:rsid w:val="71C66F16"/>
    <w:rsid w:val="71DB12A7"/>
    <w:rsid w:val="72106F1F"/>
    <w:rsid w:val="722D57C7"/>
    <w:rsid w:val="724062B5"/>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AA3251"/>
    <w:rsid w:val="73B02110"/>
    <w:rsid w:val="73CE0E30"/>
    <w:rsid w:val="73D2699C"/>
    <w:rsid w:val="73DF6395"/>
    <w:rsid w:val="73E91B4A"/>
    <w:rsid w:val="73F95D4E"/>
    <w:rsid w:val="74044161"/>
    <w:rsid w:val="74194164"/>
    <w:rsid w:val="741C0ACA"/>
    <w:rsid w:val="742D6B25"/>
    <w:rsid w:val="744446C4"/>
    <w:rsid w:val="74524A6C"/>
    <w:rsid w:val="745D46B6"/>
    <w:rsid w:val="74651CA6"/>
    <w:rsid w:val="747E2170"/>
    <w:rsid w:val="74994FF2"/>
    <w:rsid w:val="74A93ADB"/>
    <w:rsid w:val="74AB764B"/>
    <w:rsid w:val="74BA0C6B"/>
    <w:rsid w:val="74BB501E"/>
    <w:rsid w:val="74C303AA"/>
    <w:rsid w:val="74EE31EA"/>
    <w:rsid w:val="74FA2880"/>
    <w:rsid w:val="75093A1C"/>
    <w:rsid w:val="75225CBF"/>
    <w:rsid w:val="75350693"/>
    <w:rsid w:val="7546677D"/>
    <w:rsid w:val="754B2AC0"/>
    <w:rsid w:val="754D466C"/>
    <w:rsid w:val="754F4CC4"/>
    <w:rsid w:val="756E0B0A"/>
    <w:rsid w:val="757031D9"/>
    <w:rsid w:val="75814167"/>
    <w:rsid w:val="75842DFC"/>
    <w:rsid w:val="75A667A1"/>
    <w:rsid w:val="75B9416A"/>
    <w:rsid w:val="75BE0722"/>
    <w:rsid w:val="75C247F2"/>
    <w:rsid w:val="75CD7BB5"/>
    <w:rsid w:val="76437D02"/>
    <w:rsid w:val="765120A6"/>
    <w:rsid w:val="767F05D4"/>
    <w:rsid w:val="76BF7D3D"/>
    <w:rsid w:val="76C52AEB"/>
    <w:rsid w:val="76D264D4"/>
    <w:rsid w:val="76E955C3"/>
    <w:rsid w:val="76FD43AC"/>
    <w:rsid w:val="77123ACC"/>
    <w:rsid w:val="77247924"/>
    <w:rsid w:val="772B1B20"/>
    <w:rsid w:val="772F6E25"/>
    <w:rsid w:val="77510935"/>
    <w:rsid w:val="77634F3B"/>
    <w:rsid w:val="77D36332"/>
    <w:rsid w:val="77D62A56"/>
    <w:rsid w:val="77E62733"/>
    <w:rsid w:val="77F84B71"/>
    <w:rsid w:val="780E1955"/>
    <w:rsid w:val="782449B1"/>
    <w:rsid w:val="78293DC3"/>
    <w:rsid w:val="782D2D9B"/>
    <w:rsid w:val="783A6B2F"/>
    <w:rsid w:val="783C0F04"/>
    <w:rsid w:val="783F4F70"/>
    <w:rsid w:val="785B4C20"/>
    <w:rsid w:val="785D218D"/>
    <w:rsid w:val="787F24BF"/>
    <w:rsid w:val="78AB4E34"/>
    <w:rsid w:val="78B8567C"/>
    <w:rsid w:val="78F7615B"/>
    <w:rsid w:val="78FD2962"/>
    <w:rsid w:val="79307089"/>
    <w:rsid w:val="79373219"/>
    <w:rsid w:val="794A4288"/>
    <w:rsid w:val="794C7980"/>
    <w:rsid w:val="7954036F"/>
    <w:rsid w:val="7963139E"/>
    <w:rsid w:val="798B23A6"/>
    <w:rsid w:val="79A86542"/>
    <w:rsid w:val="79B07D81"/>
    <w:rsid w:val="79BE5E62"/>
    <w:rsid w:val="79D00261"/>
    <w:rsid w:val="79D72059"/>
    <w:rsid w:val="79EC33C3"/>
    <w:rsid w:val="7A1C1793"/>
    <w:rsid w:val="7A1C4DC7"/>
    <w:rsid w:val="7A3A078E"/>
    <w:rsid w:val="7A45124E"/>
    <w:rsid w:val="7A4C7BCA"/>
    <w:rsid w:val="7A7F307F"/>
    <w:rsid w:val="7A850292"/>
    <w:rsid w:val="7A864059"/>
    <w:rsid w:val="7A991285"/>
    <w:rsid w:val="7AAC03BC"/>
    <w:rsid w:val="7AB2157C"/>
    <w:rsid w:val="7AC179AB"/>
    <w:rsid w:val="7AC528C4"/>
    <w:rsid w:val="7ACE4545"/>
    <w:rsid w:val="7AE80992"/>
    <w:rsid w:val="7AE9752E"/>
    <w:rsid w:val="7AEC1055"/>
    <w:rsid w:val="7AF51135"/>
    <w:rsid w:val="7AFE078F"/>
    <w:rsid w:val="7B0320BB"/>
    <w:rsid w:val="7B1E76B6"/>
    <w:rsid w:val="7B5204F9"/>
    <w:rsid w:val="7B6E188D"/>
    <w:rsid w:val="7B6E3852"/>
    <w:rsid w:val="7B745405"/>
    <w:rsid w:val="7BCD7043"/>
    <w:rsid w:val="7BDA2B39"/>
    <w:rsid w:val="7C274E7E"/>
    <w:rsid w:val="7C280E42"/>
    <w:rsid w:val="7C3314E4"/>
    <w:rsid w:val="7C7F4F3C"/>
    <w:rsid w:val="7C9C55B4"/>
    <w:rsid w:val="7CA544A2"/>
    <w:rsid w:val="7CB31F25"/>
    <w:rsid w:val="7CB347D7"/>
    <w:rsid w:val="7CCD67D7"/>
    <w:rsid w:val="7CE21673"/>
    <w:rsid w:val="7CE2570E"/>
    <w:rsid w:val="7CEF35A8"/>
    <w:rsid w:val="7CF45745"/>
    <w:rsid w:val="7D2B41BE"/>
    <w:rsid w:val="7D4033FD"/>
    <w:rsid w:val="7D4D5856"/>
    <w:rsid w:val="7D537A55"/>
    <w:rsid w:val="7D737A9C"/>
    <w:rsid w:val="7DAA16F6"/>
    <w:rsid w:val="7DE14EF9"/>
    <w:rsid w:val="7E183EEA"/>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0C363E"/>
    <w:rsid w:val="7F21551C"/>
    <w:rsid w:val="7F251450"/>
    <w:rsid w:val="7F381A47"/>
    <w:rsid w:val="7F3932D6"/>
    <w:rsid w:val="7F3B3199"/>
    <w:rsid w:val="7F3D07F6"/>
    <w:rsid w:val="7F4D23DA"/>
    <w:rsid w:val="7F613C7E"/>
    <w:rsid w:val="7F827F3A"/>
    <w:rsid w:val="7F912BF1"/>
    <w:rsid w:val="7FA4150B"/>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paragraph" w:customStyle="1" w:styleId="82">
    <w:name w:val="Proposal"/>
    <w:basedOn w:val="1"/>
    <w:qFormat/>
    <w:uiPriority w:val="0"/>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83">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39</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2024-10-07T13:20:09Z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696ABF5A0C8A4760BADE0D3A1D726290</vt:lpwstr>
  </property>
</Properties>
</file>